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BBEA" w14:textId="77777777" w:rsidR="005869EF" w:rsidRDefault="009C3FAE">
      <w:pPr>
        <w:pStyle w:val="CMT"/>
        <w:rPr>
          <w:rStyle w:val="Strong"/>
          <w:rFonts w:cs="Arial"/>
        </w:rPr>
      </w:pPr>
      <w:r>
        <w:rPr>
          <w:rStyle w:val="Strong"/>
          <w:rFonts w:cs="Arial"/>
        </w:rPr>
        <w:t>Color-highlighted text</w:t>
      </w:r>
    </w:p>
    <w:p w14:paraId="581EC611" w14:textId="77777777" w:rsidR="005869EF" w:rsidRDefault="009C3FAE">
      <w:pPr>
        <w:pStyle w:val="CMT"/>
        <w:ind w:left="720"/>
        <w:rPr>
          <w:rStyle w:val="Strong"/>
          <w:rFonts w:cs="Arial"/>
          <w:b w:val="0"/>
        </w:rPr>
      </w:pPr>
      <w:r>
        <w:rPr>
          <w:rStyle w:val="Strong"/>
          <w:rFonts w:cs="Arial"/>
          <w:highlight w:val="yellow"/>
        </w:rPr>
        <w:t>Yellow</w:t>
      </w:r>
      <w:r>
        <w:rPr>
          <w:rStyle w:val="Strong"/>
          <w:rFonts w:cs="Arial"/>
          <w:b w:val="0"/>
        </w:rPr>
        <w:t>:  Editor’s Notes.  Comments inserted into the text are addressed to the A/E, not the Contractor.  Editor’s Notes are formatted as hidden text.  Editor’s Notes are not identified with an update.  Do not print Editor’s Notes in issue for distribution to Bidders/Contractors.</w:t>
      </w:r>
    </w:p>
    <w:p w14:paraId="2FA14DA6" w14:textId="77777777" w:rsidR="005869EF" w:rsidRDefault="009C3FAE">
      <w:pPr>
        <w:pStyle w:val="CMT"/>
        <w:ind w:left="1426"/>
        <w:rPr>
          <w:rStyle w:val="Strong"/>
          <w:rFonts w:cs="Arial"/>
          <w:b w:val="0"/>
          <w:sz w:val="16"/>
        </w:rPr>
      </w:pPr>
      <w:r>
        <w:rPr>
          <w:rStyle w:val="Strong"/>
          <w:rFonts w:cs="Arial"/>
          <w:sz w:val="16"/>
        </w:rPr>
        <w:t>Tip</w:t>
      </w:r>
      <w:r>
        <w:rPr>
          <w:rStyle w:val="Strong"/>
          <w:rFonts w:cs="Arial"/>
          <w:b w:val="0"/>
          <w:sz w:val="16"/>
        </w:rPr>
        <w:t>:</w:t>
      </w:r>
      <w:r>
        <w:rPr>
          <w:rStyle w:val="Strong"/>
          <w:rFonts w:cs="Arial"/>
          <w:b w:val="0"/>
          <w:sz w:val="16"/>
        </w:rPr>
        <w:tab/>
        <w:t xml:space="preserve">To not print Editor’s Notes (hidden text) in document choose Tools on Menu bar, click Options, </w:t>
      </w:r>
      <w:proofErr w:type="gramStart"/>
      <w:r>
        <w:rPr>
          <w:rStyle w:val="Strong"/>
          <w:rFonts w:cs="Arial"/>
          <w:b w:val="0"/>
          <w:sz w:val="16"/>
        </w:rPr>
        <w:t>Print</w:t>
      </w:r>
      <w:proofErr w:type="gramEnd"/>
      <w:r>
        <w:rPr>
          <w:rStyle w:val="Strong"/>
          <w:rFonts w:cs="Arial"/>
          <w:b w:val="0"/>
          <w:sz w:val="16"/>
        </w:rPr>
        <w:t xml:space="preserve"> tab, under Include with document, uncheck Hidden text (check to print text), click OK. Save.</w:t>
      </w:r>
    </w:p>
    <w:p w14:paraId="5A2C9A1E" w14:textId="77777777" w:rsidR="005869EF" w:rsidRDefault="009C3FAE">
      <w:pPr>
        <w:pStyle w:val="CMT"/>
        <w:spacing w:before="0"/>
        <w:ind w:left="1426"/>
        <w:rPr>
          <w:rStyle w:val="Strong"/>
          <w:rFonts w:cs="Arial"/>
          <w:b w:val="0"/>
          <w:sz w:val="16"/>
        </w:rPr>
      </w:pPr>
      <w:r>
        <w:rPr>
          <w:rStyle w:val="Strong"/>
          <w:rFonts w:cs="Arial"/>
          <w:sz w:val="16"/>
        </w:rPr>
        <w:t>Tip</w:t>
      </w:r>
      <w:r>
        <w:rPr>
          <w:rStyle w:val="Strong"/>
          <w:rFonts w:cs="Arial"/>
          <w:b w:val="0"/>
          <w:sz w:val="16"/>
        </w:rPr>
        <w:t>:</w:t>
      </w:r>
      <w:r>
        <w:rPr>
          <w:rStyle w:val="Strong"/>
          <w:rFonts w:cs="Arial"/>
          <w:b w:val="0"/>
          <w:sz w:val="16"/>
        </w:rPr>
        <w:tab/>
        <w:t xml:space="preserve">To view Editor’s Notes (hidden text) in a document choose Tools on Menu bar, click Options, View tab, </w:t>
      </w:r>
      <w:proofErr w:type="gramStart"/>
      <w:r>
        <w:rPr>
          <w:rStyle w:val="Strong"/>
          <w:rFonts w:cs="Arial"/>
          <w:b w:val="0"/>
          <w:sz w:val="16"/>
        </w:rPr>
        <w:t>under  Formatting</w:t>
      </w:r>
      <w:proofErr w:type="gramEnd"/>
      <w:r>
        <w:rPr>
          <w:rStyle w:val="Strong"/>
          <w:rFonts w:cs="Arial"/>
          <w:b w:val="0"/>
          <w:sz w:val="16"/>
        </w:rPr>
        <w:t xml:space="preserve"> marks, check Hidden text (uncheck to hide text), click OK. Save.</w:t>
      </w:r>
    </w:p>
    <w:p w14:paraId="7C214F4E" w14:textId="77777777" w:rsidR="005869EF" w:rsidRDefault="009C3FAE">
      <w:pPr>
        <w:pStyle w:val="CMT"/>
        <w:ind w:left="720"/>
        <w:rPr>
          <w:rStyle w:val="Strong"/>
          <w:rFonts w:cs="Arial"/>
          <w:b w:val="0"/>
        </w:rPr>
      </w:pPr>
      <w:r>
        <w:rPr>
          <w:rStyle w:val="Strong"/>
          <w:rFonts w:cs="Arial"/>
          <w:highlight w:val="red"/>
        </w:rPr>
        <w:t>Red</w:t>
      </w:r>
      <w:r>
        <w:rPr>
          <w:rStyle w:val="Strong"/>
          <w:rFonts w:cs="Arial"/>
          <w:b w:val="0"/>
        </w:rPr>
        <w:t>:  Text updated in 1st quarter. April – June.</w:t>
      </w:r>
    </w:p>
    <w:p w14:paraId="24EC5E72" w14:textId="77777777" w:rsidR="005869EF" w:rsidRDefault="009C3FAE">
      <w:pPr>
        <w:pStyle w:val="CMT"/>
        <w:spacing w:before="0"/>
        <w:ind w:left="1426"/>
        <w:rPr>
          <w:rStyle w:val="Strong"/>
          <w:rFonts w:cs="Arial"/>
          <w:b w:val="0"/>
          <w:sz w:val="16"/>
        </w:rPr>
      </w:pPr>
      <w:r>
        <w:rPr>
          <w:rStyle w:val="Strong"/>
          <w:rFonts w:cs="Arial"/>
          <w:b w:val="0"/>
          <w:sz w:val="16"/>
        </w:rPr>
        <w:t>Strikethrough text and highlighting (not text) in previously issued quarters are deleted. Only 1st quarter highlighted updated text is indicated.</w:t>
      </w:r>
    </w:p>
    <w:p w14:paraId="1AEFFFAD" w14:textId="77777777" w:rsidR="005869EF" w:rsidRDefault="009C3FAE">
      <w:pPr>
        <w:pStyle w:val="CMT"/>
        <w:ind w:left="720"/>
        <w:rPr>
          <w:rStyle w:val="Strong"/>
          <w:rFonts w:cs="Arial"/>
          <w:b w:val="0"/>
        </w:rPr>
      </w:pPr>
      <w:r>
        <w:rPr>
          <w:rStyle w:val="Strong"/>
          <w:rFonts w:cs="Arial"/>
          <w:highlight w:val="cyan"/>
        </w:rPr>
        <w:t>Turquoise</w:t>
      </w:r>
      <w:r>
        <w:rPr>
          <w:rStyle w:val="Strong"/>
          <w:rFonts w:cs="Arial"/>
          <w:b w:val="0"/>
        </w:rPr>
        <w:t>:  Text updated in 2nd quarter. July – September.</w:t>
      </w:r>
    </w:p>
    <w:p w14:paraId="04305589" w14:textId="77777777" w:rsidR="005869EF" w:rsidRDefault="009C3FAE">
      <w:pPr>
        <w:pStyle w:val="CMT"/>
        <w:spacing w:before="0"/>
        <w:ind w:left="1426"/>
        <w:rPr>
          <w:rStyle w:val="Strong"/>
          <w:rFonts w:cs="Arial"/>
          <w:b w:val="0"/>
          <w:sz w:val="16"/>
        </w:rPr>
      </w:pPr>
      <w:r>
        <w:rPr>
          <w:rStyle w:val="Strong"/>
          <w:rFonts w:cs="Arial"/>
          <w:b w:val="0"/>
          <w:sz w:val="16"/>
        </w:rPr>
        <w:t>1st quarter updated text remains highlighted.</w:t>
      </w:r>
    </w:p>
    <w:p w14:paraId="4D4E1966" w14:textId="77777777" w:rsidR="005869EF" w:rsidRDefault="009C3FAE">
      <w:pPr>
        <w:pStyle w:val="CMT"/>
        <w:ind w:left="720"/>
        <w:rPr>
          <w:rStyle w:val="Strong"/>
          <w:rFonts w:cs="Arial"/>
          <w:b w:val="0"/>
        </w:rPr>
      </w:pPr>
      <w:r>
        <w:rPr>
          <w:rStyle w:val="Strong"/>
          <w:rFonts w:cs="Arial"/>
          <w:highlight w:val="magenta"/>
        </w:rPr>
        <w:t>Pink</w:t>
      </w:r>
      <w:r>
        <w:rPr>
          <w:rStyle w:val="Strong"/>
          <w:rFonts w:cs="Arial"/>
          <w:b w:val="0"/>
        </w:rPr>
        <w:t>:  Text updated in 3rd quarter. October – December.</w:t>
      </w:r>
    </w:p>
    <w:p w14:paraId="48313379" w14:textId="77777777" w:rsidR="005869EF" w:rsidRDefault="009C3FAE">
      <w:pPr>
        <w:pStyle w:val="CMT"/>
        <w:spacing w:before="0"/>
        <w:ind w:left="1426"/>
        <w:rPr>
          <w:rStyle w:val="Strong"/>
          <w:rFonts w:cs="Arial"/>
          <w:b w:val="0"/>
          <w:sz w:val="16"/>
        </w:rPr>
      </w:pPr>
      <w:r>
        <w:rPr>
          <w:rStyle w:val="Strong"/>
          <w:rFonts w:cs="Arial"/>
          <w:b w:val="0"/>
          <w:sz w:val="16"/>
        </w:rPr>
        <w:t>1st and 2nd quarter updated text remain highlighted.</w:t>
      </w:r>
    </w:p>
    <w:p w14:paraId="2290857F" w14:textId="77777777" w:rsidR="005869EF" w:rsidRDefault="009C3FAE">
      <w:pPr>
        <w:pStyle w:val="CMT"/>
        <w:ind w:left="720"/>
        <w:rPr>
          <w:rStyle w:val="Strong"/>
          <w:rFonts w:cs="Arial"/>
          <w:b w:val="0"/>
        </w:rPr>
      </w:pPr>
      <w:r>
        <w:rPr>
          <w:rStyle w:val="Strong"/>
          <w:rFonts w:cs="Arial"/>
          <w:highlight w:val="green"/>
        </w:rPr>
        <w:t>Bright Green</w:t>
      </w:r>
      <w:r>
        <w:rPr>
          <w:rStyle w:val="Strong"/>
          <w:rFonts w:cs="Arial"/>
          <w:b w:val="0"/>
        </w:rPr>
        <w:t>: Text updated in 4th quarter. January – March.</w:t>
      </w:r>
    </w:p>
    <w:p w14:paraId="1D5E1921" w14:textId="77777777" w:rsidR="005869EF" w:rsidRDefault="009C3FAE">
      <w:pPr>
        <w:pStyle w:val="CMT"/>
        <w:spacing w:before="0"/>
        <w:ind w:left="1426"/>
        <w:rPr>
          <w:rStyle w:val="Strong"/>
          <w:rFonts w:cs="Arial"/>
          <w:b w:val="0"/>
          <w:sz w:val="16"/>
        </w:rPr>
      </w:pPr>
      <w:r>
        <w:rPr>
          <w:rStyle w:val="Strong"/>
          <w:rFonts w:cs="Arial"/>
          <w:b w:val="0"/>
          <w:sz w:val="16"/>
        </w:rPr>
        <w:t>1st, 2nd and 3rd quarter updated text remains highlighted.</w:t>
      </w:r>
    </w:p>
    <w:p w14:paraId="3DF6BF1C" w14:textId="77777777" w:rsidR="005869EF" w:rsidRDefault="009C3FAE">
      <w:pPr>
        <w:pStyle w:val="CMT"/>
        <w:rPr>
          <w:rStyle w:val="Strong"/>
          <w:rFonts w:cs="Arial"/>
        </w:rPr>
      </w:pPr>
      <w:r>
        <w:rPr>
          <w:rStyle w:val="Strong"/>
          <w:rFonts w:cs="Arial"/>
        </w:rPr>
        <w:t>Text Editing</w:t>
      </w:r>
    </w:p>
    <w:p w14:paraId="3E0E70E2" w14:textId="77777777" w:rsidR="005869EF" w:rsidRDefault="009C3FAE">
      <w:pPr>
        <w:pStyle w:val="CMT"/>
        <w:ind w:left="720"/>
        <w:rPr>
          <w:rStyle w:val="Strong"/>
          <w:rFonts w:cs="Arial"/>
          <w:b w:val="0"/>
        </w:rPr>
      </w:pPr>
      <w:r>
        <w:rPr>
          <w:rStyle w:val="Strong"/>
          <w:rFonts w:cs="Arial"/>
          <w:b w:val="0"/>
        </w:rPr>
        <w:t xml:space="preserve">Select options </w:t>
      </w:r>
      <w:r>
        <w:rPr>
          <w:rStyle w:val="Strong"/>
          <w:rFonts w:cs="Arial"/>
        </w:rPr>
        <w:t>[in brackets]</w:t>
      </w:r>
      <w:r>
        <w:rPr>
          <w:rStyle w:val="Strong"/>
          <w:rFonts w:cs="Arial"/>
          <w:b w:val="0"/>
        </w:rPr>
        <w:t xml:space="preserve"> and edit &lt;</w:t>
      </w:r>
      <w:r>
        <w:rPr>
          <w:rStyle w:val="Strong"/>
          <w:rFonts w:cs="Arial"/>
        </w:rPr>
        <w:t>notes</w:t>
      </w:r>
      <w:r>
        <w:rPr>
          <w:rStyle w:val="Strong"/>
          <w:rFonts w:cs="Arial"/>
          <w:b w:val="0"/>
        </w:rPr>
        <w:t>&gt; before issuing specifications for distribution to Bidders/Contractors.</w:t>
      </w:r>
    </w:p>
    <w:p w14:paraId="4B0D7487" w14:textId="77777777" w:rsidR="005869EF" w:rsidRDefault="009C3FAE">
      <w:pPr>
        <w:pStyle w:val="CMT"/>
        <w:ind w:left="720"/>
        <w:rPr>
          <w:rStyle w:val="Strong"/>
          <w:rFonts w:cs="Arial"/>
          <w:b w:val="0"/>
        </w:rPr>
      </w:pPr>
      <w:r>
        <w:rPr>
          <w:rStyle w:val="Strong"/>
          <w:rFonts w:cs="Arial"/>
          <w:b w:val="0"/>
        </w:rPr>
        <w:t>Delete Strikethrough text.</w:t>
      </w:r>
    </w:p>
    <w:p w14:paraId="5E3C447F" w14:textId="77777777" w:rsidR="005869EF" w:rsidRDefault="009C3FAE">
      <w:pPr>
        <w:pStyle w:val="CMT"/>
        <w:ind w:left="1426"/>
        <w:rPr>
          <w:rStyle w:val="Strong"/>
          <w:rFonts w:cs="Arial"/>
          <w:b w:val="0"/>
          <w:sz w:val="16"/>
        </w:rPr>
      </w:pPr>
      <w:r>
        <w:rPr>
          <w:rStyle w:val="Strong"/>
          <w:rFonts w:cs="Arial"/>
          <w:sz w:val="16"/>
        </w:rPr>
        <w:t>Tip</w:t>
      </w:r>
      <w:r>
        <w:rPr>
          <w:rStyle w:val="Strong"/>
          <w:rFonts w:cs="Arial"/>
          <w:b w:val="0"/>
          <w:sz w:val="16"/>
        </w:rPr>
        <w:t>:</w:t>
      </w:r>
      <w:r>
        <w:rPr>
          <w:rStyle w:val="Strong"/>
          <w:rFonts w:cs="Arial"/>
          <w:b w:val="0"/>
          <w:sz w:val="16"/>
        </w:rPr>
        <w:tab/>
        <w:t xml:space="preserve">To delete strikethrough text, choose Edit on Menu bar, click Find, </w:t>
      </w:r>
      <w:proofErr w:type="gramStart"/>
      <w:r>
        <w:rPr>
          <w:rStyle w:val="Strong"/>
          <w:rFonts w:cs="Arial"/>
          <w:b w:val="0"/>
          <w:sz w:val="16"/>
        </w:rPr>
        <w:t>Find</w:t>
      </w:r>
      <w:proofErr w:type="gramEnd"/>
      <w:r>
        <w:rPr>
          <w:rStyle w:val="Strong"/>
          <w:rFonts w:cs="Arial"/>
          <w:b w:val="0"/>
          <w:sz w:val="16"/>
        </w:rPr>
        <w:t xml:space="preserve"> tab, More (Search Options opens), select All, click Format, Font, check Strikethrough, OK.</w:t>
      </w:r>
    </w:p>
    <w:p w14:paraId="491C93BA" w14:textId="77777777" w:rsidR="005869EF" w:rsidRDefault="009C3FAE">
      <w:pPr>
        <w:pStyle w:val="CMT"/>
        <w:spacing w:before="0"/>
        <w:ind w:left="1426"/>
        <w:rPr>
          <w:rStyle w:val="Strong"/>
          <w:rFonts w:cs="Arial"/>
          <w:b w:val="0"/>
          <w:sz w:val="16"/>
        </w:rPr>
      </w:pPr>
      <w:r>
        <w:rPr>
          <w:rStyle w:val="Strong"/>
          <w:rFonts w:cs="Arial"/>
          <w:b w:val="0"/>
          <w:sz w:val="16"/>
        </w:rPr>
        <w:tab/>
        <w:t>Click Replace tab, Replace All, OK, Close. Save.</w:t>
      </w:r>
    </w:p>
    <w:p w14:paraId="685C2D5F" w14:textId="77777777" w:rsidR="005869EF" w:rsidRDefault="009C3FAE">
      <w:pPr>
        <w:pStyle w:val="CMT"/>
        <w:ind w:left="720"/>
        <w:rPr>
          <w:rStyle w:val="Strong"/>
          <w:rFonts w:cs="Arial"/>
          <w:b w:val="0"/>
        </w:rPr>
      </w:pPr>
      <w:r>
        <w:rPr>
          <w:rStyle w:val="Strong"/>
          <w:rFonts w:cs="Arial"/>
          <w:b w:val="0"/>
        </w:rPr>
        <w:t>Delete all highlighting of text from issue to be distributed to Bidders/Contractors.</w:t>
      </w:r>
    </w:p>
    <w:p w14:paraId="33457772" w14:textId="77777777" w:rsidR="005869EF" w:rsidRDefault="009C3FAE">
      <w:pPr>
        <w:pStyle w:val="CMT"/>
        <w:ind w:left="1426"/>
        <w:rPr>
          <w:rStyle w:val="Strong"/>
          <w:rFonts w:cs="Arial"/>
          <w:sz w:val="16"/>
        </w:rPr>
      </w:pPr>
      <w:r>
        <w:rPr>
          <w:rStyle w:val="Strong"/>
          <w:rFonts w:cs="Arial"/>
          <w:sz w:val="16"/>
        </w:rPr>
        <w:t>Tip:</w:t>
      </w:r>
      <w:r>
        <w:rPr>
          <w:rStyle w:val="Strong"/>
          <w:rFonts w:cs="Arial"/>
          <w:sz w:val="16"/>
        </w:rPr>
        <w:tab/>
        <w:t>To delete highlighting, locate cursor at beginning of Section and block all text in Section, press Shift + Control + End, click No Highlight icon on Formatting toolbar. Save.</w:t>
      </w:r>
    </w:p>
    <w:p w14:paraId="0B041367" w14:textId="77777777" w:rsidR="005869EF" w:rsidRDefault="009C3FAE">
      <w:pPr>
        <w:pStyle w:val="CMT"/>
        <w:ind w:left="720"/>
        <w:rPr>
          <w:rStyle w:val="Strong"/>
          <w:rFonts w:cs="Arial"/>
        </w:rPr>
      </w:pPr>
      <w:r>
        <w:rPr>
          <w:rStyle w:val="Strong"/>
          <w:rFonts w:cs="Arial"/>
        </w:rPr>
        <w:t>IMPORTANT: Retain month and year under section title on first page indicating updated Guide Specification Section issue used.</w:t>
      </w:r>
    </w:p>
    <w:p w14:paraId="366918BB" w14:textId="77777777" w:rsidR="005869EF" w:rsidRDefault="009C3FAE">
      <w:pPr>
        <w:pStyle w:val="CMT"/>
        <w:rPr>
          <w:rStyle w:val="Strong"/>
          <w:rFonts w:cs="Arial"/>
          <w:b w:val="0"/>
        </w:rPr>
      </w:pPr>
      <w:r>
        <w:rPr>
          <w:rStyle w:val="Strong"/>
          <w:rFonts w:cs="Arial"/>
        </w:rPr>
        <w:t>Note</w:t>
      </w:r>
      <w:r>
        <w:rPr>
          <w:rStyle w:val="Strong"/>
          <w:rFonts w:cs="Arial"/>
          <w:b w:val="0"/>
        </w:rPr>
        <w:t xml:space="preserve">:  This </w:t>
      </w:r>
      <w:r>
        <w:rPr>
          <w:rFonts w:cs="Arial"/>
        </w:rPr>
        <w:t>page</w:t>
      </w:r>
      <w:r>
        <w:rPr>
          <w:rStyle w:val="Strong"/>
          <w:rFonts w:cs="Arial"/>
          <w:b w:val="0"/>
        </w:rPr>
        <w:t xml:space="preserve"> will not print when Hidden text is unchecked as indicated in Editor’s Notes Tip.</w:t>
      </w:r>
    </w:p>
    <w:p w14:paraId="78E68E41" w14:textId="77777777" w:rsidR="005869EF" w:rsidRDefault="000A2F63">
      <w:pPr>
        <w:pStyle w:val="CMT"/>
        <w:spacing w:before="0"/>
        <w:rPr>
          <w:rStyle w:val="Strong"/>
          <w:b w:val="0"/>
          <w:bCs w:val="0"/>
          <w:highlight w:val="yellow"/>
        </w:rPr>
      </w:pPr>
    </w:p>
    <w:p w14:paraId="3FEC4907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IF THE HIDDEN GUIDE SPECIFICATION CONVENTIONS DO NOT APPEAR PRECEEDING THIS</w:t>
      </w:r>
    </w:p>
    <w:p w14:paraId="66BA5D4B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NOTE, TURN THEM ON AS FOLLOWS.</w:t>
      </w:r>
    </w:p>
    <w:p w14:paraId="1699F897" w14:textId="77777777" w:rsidR="005869EF" w:rsidRDefault="000A2F63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2BE27360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b/>
          <w:bCs/>
          <w:highlight w:val="yellow"/>
        </w:rPr>
        <w:t>FOR MICROSOFT WORD 2000 and 2003</w:t>
      </w:r>
      <w:r>
        <w:rPr>
          <w:rFonts w:cs="Arial"/>
          <w:highlight w:val="yellow"/>
        </w:rPr>
        <w:t>, CLICK ON SHOW/HIDE ICON IN MENU BAR OR CHOOSE</w:t>
      </w:r>
    </w:p>
    <w:p w14:paraId="2970FE65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TOOLS IN MENU BAR. THEN CLICK OPTIONS, VIEW TAB, UNDER FORMATTING MARKS, CHECK</w:t>
      </w:r>
    </w:p>
    <w:p w14:paraId="6EDC3E55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HIDDEN TEXT.</w:t>
      </w:r>
    </w:p>
    <w:p w14:paraId="12503453" w14:textId="77777777" w:rsidR="005869EF" w:rsidRDefault="000A2F63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29F407EE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b/>
          <w:bCs/>
          <w:highlight w:val="yellow"/>
        </w:rPr>
        <w:t xml:space="preserve">FOR MICROSOFT WORD 2007, </w:t>
      </w:r>
      <w:r>
        <w:rPr>
          <w:rFonts w:cs="Arial"/>
          <w:highlight w:val="yellow"/>
        </w:rPr>
        <w:t>CLICK ON MICROSOFT OFFICE ICON LOCATED IN UPPER LEFT</w:t>
      </w:r>
    </w:p>
    <w:p w14:paraId="11E0FCA5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CORNER OF MENU BAR. CLICK ON WORD OPTIONS AT BOTTOM OF DROP DOWN. THEN CLICK</w:t>
      </w:r>
    </w:p>
    <w:p w14:paraId="7F490ED8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ON DISPLAY. CHECK THE HIDDEN TEXT BOX.</w:t>
      </w:r>
    </w:p>
    <w:p w14:paraId="30CB6A8F" w14:textId="77777777" w:rsidR="005869EF" w:rsidRDefault="000A2F63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06C3AD9E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b/>
          <w:bCs/>
          <w:highlight w:val="yellow"/>
        </w:rPr>
        <w:t xml:space="preserve">FOR MICROSOFT OFFICE 2010, </w:t>
      </w:r>
      <w:r>
        <w:rPr>
          <w:rFonts w:cs="Arial"/>
          <w:highlight w:val="yellow"/>
        </w:rPr>
        <w:t>CLICK ON FILE BUTTON LOCATED IN UPPER LEFT CORNER OF</w:t>
      </w:r>
    </w:p>
    <w:p w14:paraId="1BE84CAF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lastRenderedPageBreak/>
        <w:t>MENU BAR. IN THE DROP DOWN, CLICK ON OPTIONS, AND A WORD OPTIONS BOX WILL</w:t>
      </w:r>
    </w:p>
    <w:p w14:paraId="39D29796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APPEAR. CLICK ON DISPLAY. CHECK THE HIDDEN TEXT BOX.</w:t>
      </w:r>
    </w:p>
    <w:p w14:paraId="5F0E304E" w14:textId="77777777" w:rsidR="005869EF" w:rsidRDefault="000A2F63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E5FFFDF" w14:textId="77777777" w:rsidR="005869EF" w:rsidRDefault="009C3FA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THE GUIDE SPECIFICATION CONVENTIONS SHOULD NOW BE VISIBLE IN THE DOCUMENT.</w:t>
      </w:r>
    </w:p>
    <w:p w14:paraId="03E7D832" w14:textId="77777777" w:rsidR="005869EF" w:rsidRDefault="009C3FAE">
      <w:pPr>
        <w:pStyle w:val="CMT"/>
        <w:rPr>
          <w:rFonts w:cs="Arial"/>
          <w:highlight w:val="yellow"/>
        </w:rPr>
      </w:pPr>
      <w:r>
        <w:rPr>
          <w:rFonts w:cs="Arial"/>
          <w:highlight w:val="yellow"/>
        </w:rPr>
        <w:t>(Delete this note before printing.)</w:t>
      </w:r>
    </w:p>
    <w:p w14:paraId="705DA2E5" w14:textId="77777777" w:rsidR="005869EF" w:rsidRDefault="009C3FAE">
      <w:pPr>
        <w:pStyle w:val="Title"/>
      </w:pPr>
      <w:r>
        <w:t>SECTION 01 13 00</w:t>
      </w:r>
    </w:p>
    <w:p w14:paraId="533F15E3" w14:textId="77777777" w:rsidR="005869EF" w:rsidRDefault="009C3FAE">
      <w:pPr>
        <w:pStyle w:val="Title"/>
        <w:rPr>
          <w:rStyle w:val="NAM"/>
        </w:rPr>
      </w:pPr>
      <w:r>
        <w:rPr>
          <w:rStyle w:val="NAM"/>
        </w:rPr>
        <w:t>NOTICE TO PROCEED</w:t>
      </w:r>
    </w:p>
    <w:p w14:paraId="3637987B" w14:textId="20A4F735" w:rsidR="005869EF" w:rsidRDefault="009C3FAE">
      <w:pPr>
        <w:pStyle w:val="Title2"/>
      </w:pPr>
      <w:r>
        <w:t xml:space="preserve">(Edited from DeCA </w:t>
      </w:r>
      <w:r w:rsidR="00880639">
        <w:t>June 20</w:t>
      </w:r>
      <w:r w:rsidR="00A46CA8">
        <w:t>2</w:t>
      </w:r>
      <w:r w:rsidR="000A2F63">
        <w:t>2</w:t>
      </w:r>
      <w:r w:rsidRPr="00AA63B9">
        <w:t xml:space="preserve"> D</w:t>
      </w:r>
      <w:r>
        <w:t>esign Criteria)</w:t>
      </w:r>
    </w:p>
    <w:p w14:paraId="0DE1798F" w14:textId="77777777" w:rsidR="005869EF" w:rsidRDefault="009C3FAE">
      <w:pPr>
        <w:pStyle w:val="PRT"/>
        <w:numPr>
          <w:ilvl w:val="0"/>
          <w:numId w:val="1"/>
        </w:numPr>
      </w:pPr>
      <w:bookmarkStart w:id="0" w:name="OLE_LINK1"/>
      <w:bookmarkStart w:id="1" w:name="OLE_LINK2"/>
      <w:r>
        <w:t>GENERAL</w:t>
      </w:r>
    </w:p>
    <w:bookmarkEnd w:id="0"/>
    <w:bookmarkEnd w:id="1"/>
    <w:p w14:paraId="1E011262" w14:textId="77777777" w:rsidR="005869EF" w:rsidRDefault="009C3FAE">
      <w:pPr>
        <w:pStyle w:val="ART"/>
        <w:numPr>
          <w:ilvl w:val="3"/>
          <w:numId w:val="1"/>
        </w:numPr>
      </w:pPr>
      <w:r>
        <w:t>SUMMARY</w:t>
      </w:r>
    </w:p>
    <w:p w14:paraId="2A2AEC41" w14:textId="77777777" w:rsidR="005869EF" w:rsidRDefault="009C3FAE">
      <w:pPr>
        <w:pStyle w:val="PR1"/>
        <w:numPr>
          <w:ilvl w:val="4"/>
          <w:numId w:val="1"/>
        </w:numPr>
      </w:pPr>
      <w:r>
        <w:t>Section Includes:</w:t>
      </w:r>
    </w:p>
    <w:p w14:paraId="4BB64B5C" w14:textId="77777777" w:rsidR="005869EF" w:rsidRDefault="009C3FAE">
      <w:pPr>
        <w:pStyle w:val="PR2"/>
        <w:numPr>
          <w:ilvl w:val="5"/>
          <w:numId w:val="1"/>
        </w:numPr>
        <w:spacing w:before="240"/>
      </w:pPr>
      <w:r>
        <w:t>Notice to Proceed.</w:t>
      </w:r>
    </w:p>
    <w:p w14:paraId="2B75E8C8" w14:textId="77777777" w:rsidR="005869EF" w:rsidRDefault="009C3FAE">
      <w:pPr>
        <w:pStyle w:val="PR1"/>
        <w:numPr>
          <w:ilvl w:val="4"/>
          <w:numId w:val="1"/>
        </w:numPr>
      </w:pPr>
      <w:r>
        <w:t>Related Sections:</w:t>
      </w:r>
    </w:p>
    <w:p w14:paraId="65700AC2" w14:textId="77777777" w:rsidR="005869EF" w:rsidRDefault="009C3FAE">
      <w:pPr>
        <w:pStyle w:val="PR2-1"/>
        <w:numPr>
          <w:ilvl w:val="5"/>
          <w:numId w:val="1"/>
        </w:numPr>
      </w:pPr>
      <w:r>
        <w:t>Division 01 Section Contract Modification Procedures.</w:t>
      </w:r>
    </w:p>
    <w:p w14:paraId="1659A6F8" w14:textId="77777777" w:rsidR="005869EF" w:rsidRDefault="009C3FAE">
      <w:pPr>
        <w:pStyle w:val="PR2"/>
        <w:numPr>
          <w:ilvl w:val="5"/>
          <w:numId w:val="1"/>
        </w:numPr>
      </w:pPr>
      <w:r>
        <w:t>Division 01 Section Administrative Requirements.</w:t>
      </w:r>
    </w:p>
    <w:p w14:paraId="0867408E" w14:textId="77777777" w:rsidR="005869EF" w:rsidRDefault="009C3FAE">
      <w:pPr>
        <w:pStyle w:val="PR2"/>
        <w:numPr>
          <w:ilvl w:val="5"/>
          <w:numId w:val="1"/>
        </w:numPr>
        <w:rPr>
          <w:rStyle w:val="NAM"/>
          <w:lang w:val="fr-FR"/>
        </w:rPr>
      </w:pPr>
      <w:r>
        <w:rPr>
          <w:lang w:val="fr-FR"/>
        </w:rPr>
        <w:t xml:space="preserve">Division 01 Section </w:t>
      </w:r>
      <w:r>
        <w:rPr>
          <w:rStyle w:val="NAM"/>
          <w:lang w:val="fr-FR"/>
        </w:rPr>
        <w:t>Construction Progress Documentation.</w:t>
      </w:r>
    </w:p>
    <w:p w14:paraId="7C242D7F" w14:textId="77777777" w:rsidR="005869EF" w:rsidRDefault="009C3FAE">
      <w:pPr>
        <w:pStyle w:val="PR2"/>
        <w:numPr>
          <w:ilvl w:val="5"/>
          <w:numId w:val="1"/>
        </w:numPr>
      </w:pPr>
      <w:r>
        <w:t>Division 01 Section Project Web Site.</w:t>
      </w:r>
    </w:p>
    <w:p w14:paraId="12F25DE5" w14:textId="77777777" w:rsidR="005869EF" w:rsidRDefault="009C3FAE">
      <w:pPr>
        <w:pStyle w:val="PR2"/>
        <w:numPr>
          <w:ilvl w:val="5"/>
          <w:numId w:val="1"/>
        </w:numPr>
      </w:pPr>
      <w:r>
        <w:t>Division 01 Section Quality Control.</w:t>
      </w:r>
    </w:p>
    <w:p w14:paraId="7708DE4C" w14:textId="77777777" w:rsidR="005869EF" w:rsidRDefault="009C3FAE">
      <w:pPr>
        <w:pStyle w:val="PR2"/>
        <w:numPr>
          <w:ilvl w:val="5"/>
          <w:numId w:val="1"/>
        </w:numPr>
      </w:pPr>
      <w:r>
        <w:t>Division 01 Section Temporary Facilities and Controls.</w:t>
      </w:r>
    </w:p>
    <w:p w14:paraId="2A450E16" w14:textId="77777777" w:rsidR="005869EF" w:rsidRDefault="009C3FAE">
      <w:pPr>
        <w:pStyle w:val="PR2"/>
        <w:numPr>
          <w:ilvl w:val="5"/>
          <w:numId w:val="1"/>
        </w:numPr>
      </w:pPr>
      <w:r>
        <w:t>Division 01 Section Environmental Management.</w:t>
      </w:r>
    </w:p>
    <w:p w14:paraId="363A1ADD" w14:textId="77777777" w:rsidR="005869EF" w:rsidRDefault="009C3FAE">
      <w:pPr>
        <w:pStyle w:val="PR2"/>
        <w:numPr>
          <w:ilvl w:val="5"/>
          <w:numId w:val="1"/>
        </w:numPr>
      </w:pPr>
      <w:r>
        <w:t>Division 01 Section Government Safety Requirements.</w:t>
      </w:r>
    </w:p>
    <w:p w14:paraId="6E2564F4" w14:textId="77777777" w:rsidR="005869EF" w:rsidRDefault="009C3FAE">
      <w:pPr>
        <w:pStyle w:val="ART"/>
        <w:numPr>
          <w:ilvl w:val="3"/>
          <w:numId w:val="1"/>
        </w:numPr>
      </w:pPr>
      <w:r>
        <w:t>SUBMITTALS</w:t>
      </w:r>
    </w:p>
    <w:p w14:paraId="2B9EC839" w14:textId="77777777" w:rsidR="005869EF" w:rsidRDefault="009C3FAE">
      <w:pPr>
        <w:pStyle w:val="PR1"/>
        <w:numPr>
          <w:ilvl w:val="4"/>
          <w:numId w:val="1"/>
        </w:numPr>
      </w:pPr>
      <w:r>
        <w:t>Submittal List:</w:t>
      </w:r>
    </w:p>
    <w:tbl>
      <w:tblPr>
        <w:tblW w:w="0" w:type="auto"/>
        <w:tblInd w:w="878" w:type="dxa"/>
        <w:tblLayout w:type="fixed"/>
        <w:tblLook w:val="01E0" w:firstRow="1" w:lastRow="1" w:firstColumn="1" w:lastColumn="1" w:noHBand="0" w:noVBand="0"/>
      </w:tblPr>
      <w:tblGrid>
        <w:gridCol w:w="550"/>
        <w:gridCol w:w="2200"/>
        <w:gridCol w:w="1210"/>
        <w:gridCol w:w="2937"/>
        <w:gridCol w:w="986"/>
        <w:gridCol w:w="815"/>
      </w:tblGrid>
      <w:tr w:rsidR="00907D7A" w14:paraId="744852A7" w14:textId="77777777">
        <w:trPr>
          <w:trHeight w:val="70"/>
        </w:trPr>
        <w:tc>
          <w:tcPr>
            <w:tcW w:w="550" w:type="dxa"/>
          </w:tcPr>
          <w:p w14:paraId="0573F59F" w14:textId="77777777" w:rsidR="005869EF" w:rsidRDefault="009C3FAE">
            <w:pPr>
              <w:pStyle w:val="PR1"/>
              <w:numPr>
                <w:ilvl w:val="0"/>
                <w:numId w:val="0"/>
              </w:numPr>
              <w:rPr>
                <w:u w:val="single"/>
              </w:rPr>
            </w:pPr>
            <w:proofErr w:type="spellStart"/>
            <w:r>
              <w:rPr>
                <w:u w:val="single"/>
              </w:rPr>
              <w:t>Div</w:t>
            </w:r>
            <w:proofErr w:type="spellEnd"/>
          </w:p>
        </w:tc>
        <w:tc>
          <w:tcPr>
            <w:tcW w:w="2200" w:type="dxa"/>
          </w:tcPr>
          <w:p w14:paraId="4CA2901B" w14:textId="77777777" w:rsidR="005869EF" w:rsidRDefault="009C3FAE">
            <w:pPr>
              <w:pStyle w:val="PR1"/>
              <w:numPr>
                <w:ilvl w:val="0"/>
                <w:numId w:val="0"/>
              </w:numPr>
              <w:jc w:val="left"/>
              <w:rPr>
                <w:u w:val="single"/>
              </w:rPr>
            </w:pPr>
            <w:r>
              <w:rPr>
                <w:u w:val="single"/>
              </w:rPr>
              <w:t>Section Title</w:t>
            </w:r>
          </w:p>
        </w:tc>
        <w:tc>
          <w:tcPr>
            <w:tcW w:w="1210" w:type="dxa"/>
          </w:tcPr>
          <w:p w14:paraId="137F3041" w14:textId="77777777" w:rsidR="005869EF" w:rsidRDefault="009C3FAE">
            <w:pPr>
              <w:pStyle w:val="PR1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u w:val="single"/>
              </w:rPr>
              <w:t>Reference</w:t>
            </w:r>
          </w:p>
        </w:tc>
        <w:tc>
          <w:tcPr>
            <w:tcW w:w="2937" w:type="dxa"/>
          </w:tcPr>
          <w:p w14:paraId="116AFC4B" w14:textId="77777777" w:rsidR="005869EF" w:rsidRDefault="009C3FAE">
            <w:pPr>
              <w:pStyle w:val="PR1"/>
              <w:numPr>
                <w:ilvl w:val="0"/>
                <w:numId w:val="0"/>
              </w:numPr>
              <w:jc w:val="left"/>
              <w:rPr>
                <w:u w:val="single"/>
              </w:rPr>
            </w:pPr>
            <w:r>
              <w:rPr>
                <w:u w:val="single"/>
              </w:rPr>
              <w:t>Submittal Item</w:t>
            </w:r>
          </w:p>
        </w:tc>
        <w:tc>
          <w:tcPr>
            <w:tcW w:w="986" w:type="dxa"/>
          </w:tcPr>
          <w:p w14:paraId="505D7215" w14:textId="77777777" w:rsidR="005869EF" w:rsidRDefault="009C3FAE">
            <w:pPr>
              <w:pStyle w:val="PR1"/>
              <w:numPr>
                <w:ilvl w:val="0"/>
                <w:numId w:val="0"/>
              </w:numPr>
              <w:jc w:val="center"/>
              <w:rPr>
                <w:u w:val="single"/>
              </w:rPr>
            </w:pPr>
            <w:r>
              <w:rPr>
                <w:u w:val="single"/>
              </w:rPr>
              <w:t>Quantity</w:t>
            </w:r>
          </w:p>
        </w:tc>
        <w:tc>
          <w:tcPr>
            <w:tcW w:w="815" w:type="dxa"/>
          </w:tcPr>
          <w:p w14:paraId="2BEE693F" w14:textId="77777777" w:rsidR="005869EF" w:rsidRDefault="009C3FAE">
            <w:pPr>
              <w:pStyle w:val="PR1"/>
              <w:numPr>
                <w:ilvl w:val="0"/>
                <w:numId w:val="0"/>
              </w:numPr>
              <w:jc w:val="center"/>
              <w:rPr>
                <w:u w:val="single"/>
              </w:rPr>
            </w:pPr>
            <w:r>
              <w:rPr>
                <w:u w:val="single"/>
              </w:rPr>
              <w:t>Action</w:t>
            </w:r>
          </w:p>
        </w:tc>
      </w:tr>
      <w:tr w:rsidR="00907D7A" w14:paraId="3AB699EF" w14:textId="77777777">
        <w:trPr>
          <w:trHeight w:val="70"/>
        </w:trPr>
        <w:tc>
          <w:tcPr>
            <w:tcW w:w="550" w:type="dxa"/>
          </w:tcPr>
          <w:p w14:paraId="1597B66C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00</w:t>
            </w:r>
          </w:p>
        </w:tc>
        <w:tc>
          <w:tcPr>
            <w:tcW w:w="2200" w:type="dxa"/>
          </w:tcPr>
          <w:p w14:paraId="783E1A7B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Solicitation</w:t>
            </w:r>
          </w:p>
        </w:tc>
        <w:tc>
          <w:tcPr>
            <w:tcW w:w="1210" w:type="dxa"/>
          </w:tcPr>
          <w:p w14:paraId="018AEB4E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4971C44F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General Liability and other items required in this Section</w:t>
            </w:r>
          </w:p>
        </w:tc>
        <w:tc>
          <w:tcPr>
            <w:tcW w:w="986" w:type="dxa"/>
          </w:tcPr>
          <w:p w14:paraId="2C84F4A7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03AA637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I</w:t>
            </w:r>
          </w:p>
        </w:tc>
      </w:tr>
      <w:tr w:rsidR="00907D7A" w14:paraId="733FED69" w14:textId="77777777">
        <w:trPr>
          <w:trHeight w:val="70"/>
        </w:trPr>
        <w:tc>
          <w:tcPr>
            <w:tcW w:w="550" w:type="dxa"/>
          </w:tcPr>
          <w:p w14:paraId="0A3C272A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00</w:t>
            </w:r>
          </w:p>
        </w:tc>
        <w:tc>
          <w:tcPr>
            <w:tcW w:w="2200" w:type="dxa"/>
          </w:tcPr>
          <w:p w14:paraId="40B738B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Solicitation</w:t>
            </w:r>
          </w:p>
        </w:tc>
        <w:tc>
          <w:tcPr>
            <w:tcW w:w="1210" w:type="dxa"/>
          </w:tcPr>
          <w:p w14:paraId="5007C91A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55BAD79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SF1413</w:t>
            </w:r>
          </w:p>
        </w:tc>
        <w:tc>
          <w:tcPr>
            <w:tcW w:w="986" w:type="dxa"/>
          </w:tcPr>
          <w:p w14:paraId="7BEE94D2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0AD046FC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49B0A940" w14:textId="77777777">
        <w:trPr>
          <w:trHeight w:val="70"/>
        </w:trPr>
        <w:tc>
          <w:tcPr>
            <w:tcW w:w="550" w:type="dxa"/>
          </w:tcPr>
          <w:p w14:paraId="7683DA5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3B5D207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Notice to Proceed</w:t>
            </w:r>
          </w:p>
        </w:tc>
        <w:tc>
          <w:tcPr>
            <w:tcW w:w="1210" w:type="dxa"/>
          </w:tcPr>
          <w:p w14:paraId="7EB43B3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1.3C.</w:t>
            </w:r>
            <w:proofErr w:type="gramStart"/>
            <w:r>
              <w:t>2.b.</w:t>
            </w:r>
            <w:proofErr w:type="gramEnd"/>
          </w:p>
        </w:tc>
        <w:tc>
          <w:tcPr>
            <w:tcW w:w="2937" w:type="dxa"/>
          </w:tcPr>
          <w:p w14:paraId="63519F93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proofErr w:type="gramStart"/>
            <w:r>
              <w:rPr>
                <w:color w:val="000000"/>
              </w:rPr>
              <w:t>Roster  of</w:t>
            </w:r>
            <w:proofErr w:type="gramEnd"/>
            <w:r>
              <w:rPr>
                <w:color w:val="000000"/>
              </w:rPr>
              <w:t xml:space="preserve"> Personnel, Suppliers and Subcontractors</w:t>
            </w:r>
          </w:p>
        </w:tc>
        <w:tc>
          <w:tcPr>
            <w:tcW w:w="986" w:type="dxa"/>
          </w:tcPr>
          <w:p w14:paraId="4D63B387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04EB15D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3F9B5366" w14:textId="77777777">
        <w:trPr>
          <w:trHeight w:val="70"/>
        </w:trPr>
        <w:tc>
          <w:tcPr>
            <w:tcW w:w="550" w:type="dxa"/>
          </w:tcPr>
          <w:p w14:paraId="1959CA2E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24ADF69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Quality Control</w:t>
            </w:r>
          </w:p>
        </w:tc>
        <w:tc>
          <w:tcPr>
            <w:tcW w:w="1210" w:type="dxa"/>
          </w:tcPr>
          <w:p w14:paraId="40D9DB5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00BF91D0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rPr>
                <w:color w:val="000000"/>
              </w:rPr>
              <w:t>Quality Control Plan</w:t>
            </w:r>
          </w:p>
        </w:tc>
        <w:tc>
          <w:tcPr>
            <w:tcW w:w="986" w:type="dxa"/>
          </w:tcPr>
          <w:p w14:paraId="504994CE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31DE7E2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0134DC50" w14:textId="77777777">
        <w:trPr>
          <w:trHeight w:val="70"/>
        </w:trPr>
        <w:tc>
          <w:tcPr>
            <w:tcW w:w="550" w:type="dxa"/>
          </w:tcPr>
          <w:p w14:paraId="44DB3BBB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298F604F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Construction Progress Documentation</w:t>
            </w:r>
          </w:p>
        </w:tc>
        <w:tc>
          <w:tcPr>
            <w:tcW w:w="1210" w:type="dxa"/>
          </w:tcPr>
          <w:p w14:paraId="7C6E7556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34985EC0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rPr>
                <w:color w:val="000000"/>
              </w:rPr>
              <w:t>CPM schedule and Sub-schedules</w:t>
            </w:r>
          </w:p>
        </w:tc>
        <w:tc>
          <w:tcPr>
            <w:tcW w:w="986" w:type="dxa"/>
          </w:tcPr>
          <w:p w14:paraId="5477C4F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11CD049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2EEACB10" w14:textId="77777777">
        <w:trPr>
          <w:trHeight w:val="70"/>
        </w:trPr>
        <w:tc>
          <w:tcPr>
            <w:tcW w:w="550" w:type="dxa"/>
          </w:tcPr>
          <w:p w14:paraId="63F48DE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37F5A506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Government Safety Requirements</w:t>
            </w:r>
          </w:p>
        </w:tc>
        <w:tc>
          <w:tcPr>
            <w:tcW w:w="1210" w:type="dxa"/>
          </w:tcPr>
          <w:p w14:paraId="65C8BA02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6094CEF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rPr>
                <w:color w:val="000000"/>
              </w:rPr>
              <w:t>Security Plan</w:t>
            </w:r>
          </w:p>
        </w:tc>
        <w:tc>
          <w:tcPr>
            <w:tcW w:w="986" w:type="dxa"/>
          </w:tcPr>
          <w:p w14:paraId="47D4DDAE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4C49310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2381852C" w14:textId="77777777">
        <w:trPr>
          <w:trHeight w:val="70"/>
        </w:trPr>
        <w:tc>
          <w:tcPr>
            <w:tcW w:w="550" w:type="dxa"/>
          </w:tcPr>
          <w:p w14:paraId="007CDF69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lastRenderedPageBreak/>
              <w:t>01</w:t>
            </w:r>
          </w:p>
        </w:tc>
        <w:tc>
          <w:tcPr>
            <w:tcW w:w="2200" w:type="dxa"/>
          </w:tcPr>
          <w:p w14:paraId="51937445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Government Safety Requirements</w:t>
            </w:r>
          </w:p>
        </w:tc>
        <w:tc>
          <w:tcPr>
            <w:tcW w:w="1210" w:type="dxa"/>
          </w:tcPr>
          <w:p w14:paraId="20E04C97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57E713C5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rPr>
                <w:color w:val="000000"/>
              </w:rPr>
              <w:t>Fire Prevention Plan</w:t>
            </w:r>
          </w:p>
        </w:tc>
        <w:tc>
          <w:tcPr>
            <w:tcW w:w="986" w:type="dxa"/>
          </w:tcPr>
          <w:p w14:paraId="56EE616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121AA6E6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03D400AF" w14:textId="77777777">
        <w:trPr>
          <w:trHeight w:val="70"/>
        </w:trPr>
        <w:tc>
          <w:tcPr>
            <w:tcW w:w="550" w:type="dxa"/>
          </w:tcPr>
          <w:p w14:paraId="3ADEA4A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0A5E7E72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Government Safety Requirements</w:t>
            </w:r>
          </w:p>
        </w:tc>
        <w:tc>
          <w:tcPr>
            <w:tcW w:w="1210" w:type="dxa"/>
          </w:tcPr>
          <w:p w14:paraId="6625999A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4B82A002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rPr>
                <w:color w:val="000000"/>
              </w:rPr>
              <w:t>Safety Plan</w:t>
            </w:r>
          </w:p>
        </w:tc>
        <w:tc>
          <w:tcPr>
            <w:tcW w:w="986" w:type="dxa"/>
          </w:tcPr>
          <w:p w14:paraId="6D413840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7A17F30C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19476E7E" w14:textId="77777777">
        <w:trPr>
          <w:trHeight w:val="70"/>
        </w:trPr>
        <w:tc>
          <w:tcPr>
            <w:tcW w:w="550" w:type="dxa"/>
          </w:tcPr>
          <w:p w14:paraId="772AEDA5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44EBDC5C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Temporary Facilities and Controls</w:t>
            </w:r>
          </w:p>
        </w:tc>
        <w:tc>
          <w:tcPr>
            <w:tcW w:w="1210" w:type="dxa"/>
          </w:tcPr>
          <w:p w14:paraId="2771945C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4B55463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rPr>
                <w:color w:val="000000"/>
              </w:rPr>
              <w:t>Temporary Utilities Plan</w:t>
            </w:r>
          </w:p>
        </w:tc>
        <w:tc>
          <w:tcPr>
            <w:tcW w:w="986" w:type="dxa"/>
          </w:tcPr>
          <w:p w14:paraId="2173A00C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6BCFADB2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7C1A8AB5" w14:textId="77777777">
        <w:trPr>
          <w:trHeight w:val="70"/>
        </w:trPr>
        <w:tc>
          <w:tcPr>
            <w:tcW w:w="550" w:type="dxa"/>
          </w:tcPr>
          <w:p w14:paraId="64668FBE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4DA56029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Temporary Facilities and Controls</w:t>
            </w:r>
          </w:p>
        </w:tc>
        <w:tc>
          <w:tcPr>
            <w:tcW w:w="1210" w:type="dxa"/>
          </w:tcPr>
          <w:p w14:paraId="5C66F390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749AC003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rPr>
                <w:color w:val="000000"/>
              </w:rPr>
              <w:t>Temporary Support Facilities Plan</w:t>
            </w:r>
          </w:p>
        </w:tc>
        <w:tc>
          <w:tcPr>
            <w:tcW w:w="986" w:type="dxa"/>
          </w:tcPr>
          <w:p w14:paraId="6FC53816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7C058DB6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55309C81" w14:textId="77777777">
        <w:trPr>
          <w:trHeight w:val="70"/>
        </w:trPr>
        <w:tc>
          <w:tcPr>
            <w:tcW w:w="550" w:type="dxa"/>
          </w:tcPr>
          <w:p w14:paraId="21482AE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68A1CD95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Administrative Requirements</w:t>
            </w:r>
          </w:p>
        </w:tc>
        <w:tc>
          <w:tcPr>
            <w:tcW w:w="1210" w:type="dxa"/>
          </w:tcPr>
          <w:p w14:paraId="2258B0C9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3F82D8D3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rPr>
                <w:color w:val="000000"/>
              </w:rPr>
              <w:t>Record Photographs</w:t>
            </w:r>
          </w:p>
        </w:tc>
        <w:tc>
          <w:tcPr>
            <w:tcW w:w="986" w:type="dxa"/>
          </w:tcPr>
          <w:p w14:paraId="19C4ED46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32CF4902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6E1139C1" w14:textId="77777777">
        <w:trPr>
          <w:trHeight w:val="70"/>
        </w:trPr>
        <w:tc>
          <w:tcPr>
            <w:tcW w:w="550" w:type="dxa"/>
          </w:tcPr>
          <w:p w14:paraId="44F0E55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689B2AB2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Environmental Management</w:t>
            </w:r>
          </w:p>
        </w:tc>
        <w:tc>
          <w:tcPr>
            <w:tcW w:w="1210" w:type="dxa"/>
          </w:tcPr>
          <w:p w14:paraId="23C1E4AE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606E9DE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Spill Prevention and Response Procedure (SPRP) Plan</w:t>
            </w:r>
          </w:p>
        </w:tc>
        <w:tc>
          <w:tcPr>
            <w:tcW w:w="986" w:type="dxa"/>
          </w:tcPr>
          <w:p w14:paraId="0EACBE0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1403BA5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35C2461A" w14:textId="77777777">
        <w:trPr>
          <w:trHeight w:val="70"/>
        </w:trPr>
        <w:tc>
          <w:tcPr>
            <w:tcW w:w="550" w:type="dxa"/>
          </w:tcPr>
          <w:p w14:paraId="25E1954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5A27A71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Environmental Management</w:t>
            </w:r>
          </w:p>
        </w:tc>
        <w:tc>
          <w:tcPr>
            <w:tcW w:w="1210" w:type="dxa"/>
          </w:tcPr>
          <w:p w14:paraId="3E4129D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64EE0D51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 xml:space="preserve">Hazardous Material List </w:t>
            </w:r>
          </w:p>
        </w:tc>
        <w:tc>
          <w:tcPr>
            <w:tcW w:w="986" w:type="dxa"/>
          </w:tcPr>
          <w:p w14:paraId="1B81C6D4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5CB563CB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415838F2" w14:textId="77777777">
        <w:trPr>
          <w:trHeight w:val="70"/>
        </w:trPr>
        <w:tc>
          <w:tcPr>
            <w:tcW w:w="550" w:type="dxa"/>
          </w:tcPr>
          <w:p w14:paraId="790827B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48E964C3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Environmental Management</w:t>
            </w:r>
          </w:p>
        </w:tc>
        <w:tc>
          <w:tcPr>
            <w:tcW w:w="1210" w:type="dxa"/>
          </w:tcPr>
          <w:p w14:paraId="3CCB644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61D2F705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Storm Water Pollution Prevention Plan (SWPPP)</w:t>
            </w:r>
          </w:p>
        </w:tc>
        <w:tc>
          <w:tcPr>
            <w:tcW w:w="986" w:type="dxa"/>
          </w:tcPr>
          <w:p w14:paraId="755B64F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4E3E2682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40922746" w14:textId="77777777">
        <w:trPr>
          <w:trHeight w:val="70"/>
        </w:trPr>
        <w:tc>
          <w:tcPr>
            <w:tcW w:w="550" w:type="dxa"/>
          </w:tcPr>
          <w:p w14:paraId="708D6F15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7CEB6A4B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Environmental Management</w:t>
            </w:r>
          </w:p>
        </w:tc>
        <w:tc>
          <w:tcPr>
            <w:tcW w:w="1210" w:type="dxa"/>
          </w:tcPr>
          <w:p w14:paraId="6E59AE36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017D4E46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Notice of Intent (NOI)</w:t>
            </w:r>
          </w:p>
        </w:tc>
        <w:tc>
          <w:tcPr>
            <w:tcW w:w="986" w:type="dxa"/>
          </w:tcPr>
          <w:p w14:paraId="3F308243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43020BF9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  <w:tr w:rsidR="00907D7A" w14:paraId="2804C7B8" w14:textId="77777777">
        <w:trPr>
          <w:trHeight w:val="70"/>
        </w:trPr>
        <w:tc>
          <w:tcPr>
            <w:tcW w:w="550" w:type="dxa"/>
          </w:tcPr>
          <w:p w14:paraId="41F97DC6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01</w:t>
            </w:r>
          </w:p>
        </w:tc>
        <w:tc>
          <w:tcPr>
            <w:tcW w:w="2200" w:type="dxa"/>
          </w:tcPr>
          <w:p w14:paraId="1B5AEA80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Environmental Management</w:t>
            </w:r>
          </w:p>
        </w:tc>
        <w:tc>
          <w:tcPr>
            <w:tcW w:w="1210" w:type="dxa"/>
          </w:tcPr>
          <w:p w14:paraId="09E2F49D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</w:pPr>
            <w:r>
              <w:t>See Section</w:t>
            </w:r>
          </w:p>
        </w:tc>
        <w:tc>
          <w:tcPr>
            <w:tcW w:w="2937" w:type="dxa"/>
          </w:tcPr>
          <w:p w14:paraId="62CEE2C8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left"/>
            </w:pPr>
            <w:r>
              <w:t>Solid Waste, Construction, and Demolition Debris Waste Management Plan</w:t>
            </w:r>
          </w:p>
        </w:tc>
        <w:tc>
          <w:tcPr>
            <w:tcW w:w="986" w:type="dxa"/>
          </w:tcPr>
          <w:p w14:paraId="35DEF1E4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X</w:t>
            </w:r>
          </w:p>
        </w:tc>
        <w:tc>
          <w:tcPr>
            <w:tcW w:w="815" w:type="dxa"/>
          </w:tcPr>
          <w:p w14:paraId="44F28C7F" w14:textId="77777777" w:rsidR="005869EF" w:rsidRDefault="009C3FAE">
            <w:pPr>
              <w:pStyle w:val="PR1"/>
              <w:numPr>
                <w:ilvl w:val="0"/>
                <w:numId w:val="0"/>
              </w:numPr>
              <w:spacing w:before="120"/>
              <w:jc w:val="center"/>
            </w:pPr>
            <w:r>
              <w:t>R</w:t>
            </w:r>
          </w:p>
        </w:tc>
      </w:tr>
    </w:tbl>
    <w:p w14:paraId="5A6EA0AE" w14:textId="77777777" w:rsidR="005869EF" w:rsidRDefault="009C3FAE">
      <w:pPr>
        <w:tabs>
          <w:tab w:val="left" w:pos="864"/>
          <w:tab w:val="left" w:pos="1170"/>
        </w:tabs>
        <w:spacing w:before="240"/>
      </w:pPr>
      <w:r>
        <w:tab/>
        <w:t>X</w:t>
      </w:r>
      <w:r>
        <w:rPr>
          <w:rFonts w:ascii="WP IconicSymbolsA" w:hAnsi="WP IconicSymbolsA"/>
        </w:rPr>
        <w:tab/>
      </w:r>
      <w:r>
        <w:t>Submit quantity specified in Division 01 Section Administrative Requirements.</w:t>
      </w:r>
    </w:p>
    <w:p w14:paraId="61170DF3" w14:textId="77777777" w:rsidR="005869EF" w:rsidRDefault="009C3FAE">
      <w:pPr>
        <w:pStyle w:val="HDR"/>
        <w:tabs>
          <w:tab w:val="clear" w:pos="4608"/>
          <w:tab w:val="clear" w:pos="9360"/>
          <w:tab w:val="left" w:pos="864"/>
          <w:tab w:val="left" w:pos="1170"/>
        </w:tabs>
        <w:suppressAutoHyphens w:val="0"/>
        <w:jc w:val="both"/>
        <w:rPr>
          <w:b w:val="0"/>
          <w:sz w:val="20"/>
        </w:rPr>
      </w:pPr>
      <w:r>
        <w:rPr>
          <w:b w:val="0"/>
          <w:sz w:val="20"/>
        </w:rPr>
        <w:tab/>
        <w:t>R</w:t>
      </w:r>
      <w:r>
        <w:rPr>
          <w:b w:val="0"/>
          <w:sz w:val="20"/>
        </w:rPr>
        <w:tab/>
        <w:t>Review each submittal, mark to indicate action taken, and return.</w:t>
      </w:r>
    </w:p>
    <w:p w14:paraId="4C7EFBD8" w14:textId="77777777" w:rsidR="005869EF" w:rsidRDefault="009C3FAE">
      <w:pPr>
        <w:pStyle w:val="HDR"/>
        <w:tabs>
          <w:tab w:val="clear" w:pos="4608"/>
          <w:tab w:val="clear" w:pos="9360"/>
          <w:tab w:val="left" w:pos="864"/>
          <w:tab w:val="left" w:pos="1170"/>
        </w:tabs>
        <w:suppressAutoHyphens w:val="0"/>
        <w:jc w:val="both"/>
        <w:rPr>
          <w:b w:val="0"/>
          <w:sz w:val="20"/>
        </w:rPr>
      </w:pPr>
      <w:r>
        <w:rPr>
          <w:b w:val="0"/>
          <w:sz w:val="20"/>
        </w:rPr>
        <w:tab/>
        <w:t>I</w:t>
      </w:r>
      <w:r>
        <w:rPr>
          <w:b w:val="0"/>
          <w:sz w:val="20"/>
        </w:rPr>
        <w:tab/>
        <w:t>Submittal is for information or record purposes only.  No action will be taken.</w:t>
      </w:r>
    </w:p>
    <w:p w14:paraId="3E905BC5" w14:textId="77777777" w:rsidR="005869EF" w:rsidRDefault="009C3FAE">
      <w:pPr>
        <w:pStyle w:val="ART"/>
        <w:numPr>
          <w:ilvl w:val="3"/>
          <w:numId w:val="1"/>
        </w:numPr>
      </w:pPr>
      <w:r>
        <w:t>NOTICE TO PROCEED</w:t>
      </w:r>
    </w:p>
    <w:p w14:paraId="431D674A" w14:textId="77777777" w:rsidR="005869EF" w:rsidRDefault="009C3FAE">
      <w:pPr>
        <w:pStyle w:val="PR1"/>
        <w:numPr>
          <w:ilvl w:val="4"/>
          <w:numId w:val="1"/>
        </w:numPr>
      </w:pPr>
      <w:r>
        <w:t>The Contracting Officer will issue the Notice to Proceed only after Government receipt of Performance and Payment Bonds.</w:t>
      </w:r>
    </w:p>
    <w:p w14:paraId="5A1049BD" w14:textId="77777777" w:rsidR="005869EF" w:rsidRDefault="009C3FAE" w:rsidP="007A693D">
      <w:pPr>
        <w:pStyle w:val="PR1"/>
        <w:numPr>
          <w:ilvl w:val="4"/>
          <w:numId w:val="1"/>
        </w:numPr>
        <w:spacing w:before="0"/>
      </w:pPr>
      <w:r>
        <w:t>Contract Completion:</w:t>
      </w:r>
    </w:p>
    <w:p w14:paraId="3DE9B8EB" w14:textId="77777777" w:rsidR="005869EF" w:rsidRDefault="009C3FAE">
      <w:pPr>
        <w:pStyle w:val="PR2"/>
        <w:numPr>
          <w:ilvl w:val="5"/>
          <w:numId w:val="1"/>
        </w:numPr>
        <w:spacing w:before="240"/>
      </w:pPr>
      <w:r>
        <w:t>The Notice to Proceed sets the Contractor's Contract start and completion date.</w:t>
      </w:r>
    </w:p>
    <w:p w14:paraId="4A67E05E" w14:textId="77777777" w:rsidR="005869EF" w:rsidRDefault="009C3FAE">
      <w:pPr>
        <w:pStyle w:val="PR1"/>
        <w:numPr>
          <w:ilvl w:val="4"/>
          <w:numId w:val="1"/>
        </w:numPr>
      </w:pPr>
      <w:bookmarkStart w:id="2" w:name="_Ref97351117"/>
      <w:r>
        <w:t xml:space="preserve">Mobilization and </w:t>
      </w:r>
      <w:proofErr w:type="gramStart"/>
      <w:r>
        <w:t>Submittal  Processing</w:t>
      </w:r>
      <w:bookmarkEnd w:id="2"/>
      <w:proofErr w:type="gramEnd"/>
      <w:r>
        <w:t>:</w:t>
      </w:r>
    </w:p>
    <w:p w14:paraId="0E175D8E" w14:textId="77777777" w:rsidR="005869EF" w:rsidRDefault="009C3FAE">
      <w:pPr>
        <w:pStyle w:val="PR2"/>
        <w:numPr>
          <w:ilvl w:val="5"/>
          <w:numId w:val="1"/>
        </w:numPr>
        <w:spacing w:before="240"/>
      </w:pPr>
      <w:r>
        <w:t>The activities listed are all included in the time period set forth to complete the Project.</w:t>
      </w:r>
    </w:p>
    <w:p w14:paraId="316CB72D" w14:textId="77777777" w:rsidR="005869EF" w:rsidRDefault="009C3FAE">
      <w:pPr>
        <w:pStyle w:val="PR2"/>
        <w:numPr>
          <w:ilvl w:val="5"/>
          <w:numId w:val="1"/>
        </w:numPr>
      </w:pPr>
      <w:bookmarkStart w:id="3" w:name="_Ref101941101"/>
      <w:r>
        <w:t xml:space="preserve">Within ten (10) calendar days after receipt of Notice to Proceed, generate and submit all items listed for Government review and/or approval. Government acknowledgement of their approval of these items is a condition-precedent to the Contractor’s commencement of </w:t>
      </w:r>
      <w:r>
        <w:rPr>
          <w:u w:val="single"/>
        </w:rPr>
        <w:t>any</w:t>
      </w:r>
      <w:r>
        <w:t xml:space="preserve"> building construction </w:t>
      </w:r>
      <w:r>
        <w:rPr>
          <w:b/>
        </w:rPr>
        <w:t>[or demolition]</w:t>
      </w:r>
      <w:r>
        <w:t xml:space="preserve"> activity.  Allow for Government review time of 21 calendar days for the first submission and an additional 14 calendar days for any re-submittals, if required.</w:t>
      </w:r>
      <w:bookmarkEnd w:id="3"/>
    </w:p>
    <w:p w14:paraId="32BC01BB" w14:textId="77777777" w:rsidR="005869EF" w:rsidRDefault="009C3FAE">
      <w:pPr>
        <w:pStyle w:val="PR3-a"/>
        <w:numPr>
          <w:ilvl w:val="6"/>
          <w:numId w:val="1"/>
        </w:numPr>
      </w:pPr>
      <w:r>
        <w:t>SF 1413 for all trades.</w:t>
      </w:r>
    </w:p>
    <w:p w14:paraId="719B283D" w14:textId="77777777" w:rsidR="005869EF" w:rsidRDefault="009C3FAE">
      <w:pPr>
        <w:pStyle w:val="PR3"/>
        <w:numPr>
          <w:ilvl w:val="6"/>
          <w:numId w:val="1"/>
        </w:numPr>
      </w:pPr>
      <w:r>
        <w:t>A Project roster of Contractor’s personnel, subcontractors, and suppliers that includes the name of the firm, names, titles, mailing addresses, email addresses, business phones, and emergency phone numbers.</w:t>
      </w:r>
    </w:p>
    <w:p w14:paraId="6863AD09" w14:textId="77777777" w:rsidR="005869EF" w:rsidRDefault="009C3FAE">
      <w:pPr>
        <w:pStyle w:val="PR3"/>
        <w:numPr>
          <w:ilvl w:val="6"/>
          <w:numId w:val="1"/>
        </w:numPr>
      </w:pPr>
      <w:r>
        <w:lastRenderedPageBreak/>
        <w:t>Quality Control Plan - Reference Division 01 Section Quality Control.</w:t>
      </w:r>
    </w:p>
    <w:p w14:paraId="52F21C4B" w14:textId="77777777" w:rsidR="005869EF" w:rsidRDefault="009C3FAE">
      <w:pPr>
        <w:pStyle w:val="PR3"/>
        <w:numPr>
          <w:ilvl w:val="6"/>
          <w:numId w:val="1"/>
        </w:numPr>
      </w:pPr>
      <w:r>
        <w:t>Security Plan - Reference Division 01 Section Government Safety Requirements.</w:t>
      </w:r>
    </w:p>
    <w:p w14:paraId="2D3443E9" w14:textId="77777777" w:rsidR="005869EF" w:rsidRDefault="009C3FAE">
      <w:pPr>
        <w:pStyle w:val="PR3"/>
        <w:numPr>
          <w:ilvl w:val="6"/>
          <w:numId w:val="1"/>
        </w:numPr>
      </w:pPr>
      <w:r>
        <w:t>Safety Plan - Reference Division 01 Section Government Safety Requirements.</w:t>
      </w:r>
    </w:p>
    <w:p w14:paraId="491E133E" w14:textId="77777777" w:rsidR="005869EF" w:rsidRDefault="009C3FAE">
      <w:pPr>
        <w:pStyle w:val="PR3"/>
        <w:numPr>
          <w:ilvl w:val="6"/>
          <w:numId w:val="1"/>
        </w:numPr>
      </w:pPr>
      <w:r>
        <w:t>Fire Prevention Plan - Reference Division 01 Section Government Safety Requirements.</w:t>
      </w:r>
    </w:p>
    <w:p w14:paraId="21D503F2" w14:textId="77777777" w:rsidR="005869EF" w:rsidRDefault="009C3FAE">
      <w:pPr>
        <w:pStyle w:val="PR3"/>
        <w:numPr>
          <w:ilvl w:val="6"/>
          <w:numId w:val="1"/>
        </w:numPr>
      </w:pPr>
      <w:r>
        <w:t xml:space="preserve">Site Usage Plan and submittals related to </w:t>
      </w:r>
      <w:r w:rsidR="00574D08" w:rsidRPr="00880639">
        <w:t xml:space="preserve">Government’s Authorized Technical Representative’s </w:t>
      </w:r>
      <w:r w:rsidRPr="00880639">
        <w:t>office</w:t>
      </w:r>
      <w:r>
        <w:t>, Contractor’s temporary facilities, fencing, and staging area.</w:t>
      </w:r>
    </w:p>
    <w:p w14:paraId="04052D44" w14:textId="77777777" w:rsidR="005869EF" w:rsidRDefault="009C3FAE">
      <w:pPr>
        <w:pStyle w:val="PR4-1"/>
        <w:numPr>
          <w:ilvl w:val="7"/>
          <w:numId w:val="1"/>
        </w:numPr>
      </w:pPr>
      <w:r>
        <w:t>Applicable submittal requirements for temporary facilities.  See performance and submittal requirements in Division 01 Section Temporary Facilities and Controls.</w:t>
      </w:r>
    </w:p>
    <w:p w14:paraId="55A62EB7" w14:textId="77777777" w:rsidR="005869EF" w:rsidRDefault="009C3FAE">
      <w:pPr>
        <w:pStyle w:val="PR3-a"/>
        <w:numPr>
          <w:ilvl w:val="6"/>
          <w:numId w:val="1"/>
        </w:numPr>
      </w:pPr>
      <w:r>
        <w:t xml:space="preserve">The </w:t>
      </w:r>
      <w:r w:rsidR="00574D08" w:rsidRPr="00880639">
        <w:t xml:space="preserve">Government’s Authorized Technical Representative’s </w:t>
      </w:r>
      <w:r w:rsidRPr="00880639">
        <w:t>and Contractor’s temporary offices, utilities, other facilities, fencing,</w:t>
      </w:r>
      <w:r>
        <w:t xml:space="preserve"> and staging are installed according to the approved submittals and operational.</w:t>
      </w:r>
    </w:p>
    <w:p w14:paraId="635B1857" w14:textId="77777777" w:rsidR="005869EF" w:rsidRDefault="009C3FAE">
      <w:pPr>
        <w:pStyle w:val="PR3"/>
        <w:numPr>
          <w:ilvl w:val="6"/>
          <w:numId w:val="1"/>
        </w:numPr>
      </w:pPr>
      <w:r>
        <w:t>All of the Contractor’s contractually required field staff is on site.</w:t>
      </w:r>
    </w:p>
    <w:p w14:paraId="38C1B718" w14:textId="77777777" w:rsidR="005869EF" w:rsidRDefault="009C3FAE">
      <w:pPr>
        <w:pStyle w:val="PR3"/>
        <w:numPr>
          <w:ilvl w:val="6"/>
          <w:numId w:val="1"/>
        </w:numPr>
      </w:pPr>
      <w:r>
        <w:t>Record photographs.</w:t>
      </w:r>
    </w:p>
    <w:p w14:paraId="7A99E65D" w14:textId="77777777" w:rsidR="005869EF" w:rsidRDefault="009C3FAE">
      <w:pPr>
        <w:pStyle w:val="PR3"/>
        <w:numPr>
          <w:ilvl w:val="6"/>
          <w:numId w:val="1"/>
        </w:numPr>
      </w:pPr>
      <w:r>
        <w:t>Storm Water Pollution Prevention Plan and Notice of Intent.</w:t>
      </w:r>
    </w:p>
    <w:p w14:paraId="7D276508" w14:textId="77777777" w:rsidR="005869EF" w:rsidRDefault="009C3FAE">
      <w:pPr>
        <w:pStyle w:val="PR3"/>
        <w:numPr>
          <w:ilvl w:val="6"/>
          <w:numId w:val="1"/>
        </w:numPr>
      </w:pPr>
      <w:r>
        <w:t>Hazardous Material List and Waste Management Plan.</w:t>
      </w:r>
    </w:p>
    <w:p w14:paraId="6B5BEFCC" w14:textId="77777777" w:rsidR="005869EF" w:rsidRDefault="009C3FAE">
      <w:pPr>
        <w:pStyle w:val="PR1"/>
        <w:numPr>
          <w:ilvl w:val="4"/>
          <w:numId w:val="1"/>
        </w:numPr>
      </w:pPr>
      <w:r>
        <w:t>Construction</w:t>
      </w:r>
      <w:r>
        <w:rPr>
          <w:b/>
        </w:rPr>
        <w:t>[/Demolition]</w:t>
      </w:r>
      <w:r>
        <w:t>:</w:t>
      </w:r>
    </w:p>
    <w:p w14:paraId="410B43BE" w14:textId="77777777" w:rsidR="005869EF" w:rsidRDefault="009C3FAE">
      <w:pPr>
        <w:pStyle w:val="PR2"/>
        <w:numPr>
          <w:ilvl w:val="5"/>
          <w:numId w:val="1"/>
        </w:numPr>
        <w:spacing w:before="240"/>
      </w:pPr>
      <w:r>
        <w:t>Notify the Contracting Officer upon 100 percent completion of the items listed under Mobilization and Submittal Processing and then commence construction</w:t>
      </w:r>
      <w:r>
        <w:rPr>
          <w:b/>
        </w:rPr>
        <w:t>[/demolition]</w:t>
      </w:r>
      <w:r>
        <w:t xml:space="preserve"> activities.</w:t>
      </w:r>
    </w:p>
    <w:p w14:paraId="6832B9BF" w14:textId="77777777" w:rsidR="005869EF" w:rsidRDefault="009C3FAE">
      <w:pPr>
        <w:pStyle w:val="PRT"/>
        <w:numPr>
          <w:ilvl w:val="0"/>
          <w:numId w:val="1"/>
        </w:numPr>
      </w:pPr>
      <w:r>
        <w:rPr>
          <w:bCs/>
        </w:rPr>
        <w:t>PRODUCTS</w:t>
      </w:r>
      <w:r>
        <w:t xml:space="preserve"> (Not Used)</w:t>
      </w:r>
    </w:p>
    <w:p w14:paraId="7D0CB989" w14:textId="77777777" w:rsidR="005869EF" w:rsidRDefault="009C3FAE">
      <w:pPr>
        <w:pStyle w:val="PRT"/>
        <w:numPr>
          <w:ilvl w:val="0"/>
          <w:numId w:val="1"/>
        </w:numPr>
      </w:pPr>
      <w:r>
        <w:rPr>
          <w:bCs/>
        </w:rPr>
        <w:t>EXECUTION</w:t>
      </w:r>
      <w:r>
        <w:t xml:space="preserve"> (Not Used)</w:t>
      </w:r>
    </w:p>
    <w:p w14:paraId="6C36C536" w14:textId="77777777" w:rsidR="005869EF" w:rsidRDefault="009C3FAE">
      <w:pPr>
        <w:pStyle w:val="EOS"/>
      </w:pPr>
      <w:r>
        <w:t>END OF SECTION</w:t>
      </w:r>
    </w:p>
    <w:sectPr w:rsidR="005869EF" w:rsidSect="00907D7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AAE2" w14:textId="77777777" w:rsidR="00907D7A" w:rsidRDefault="00907D7A" w:rsidP="00907D7A">
      <w:r>
        <w:separator/>
      </w:r>
    </w:p>
  </w:endnote>
  <w:endnote w:type="continuationSeparator" w:id="0">
    <w:p w14:paraId="6EBC3F52" w14:textId="77777777" w:rsidR="00907D7A" w:rsidRDefault="00907D7A" w:rsidP="0090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F8F7" w14:textId="77777777" w:rsidR="005869EF" w:rsidRDefault="000A2F63">
    <w:pPr>
      <w:tabs>
        <w:tab w:val="center" w:pos="4680"/>
        <w:tab w:val="right" w:pos="9360"/>
      </w:tabs>
      <w:jc w:val="center"/>
      <w:rPr>
        <w:rFonts w:cs="Arial"/>
      </w:rPr>
    </w:pPr>
  </w:p>
  <w:p w14:paraId="349D1291" w14:textId="77777777" w:rsidR="005869EF" w:rsidRDefault="009C3FAE">
    <w:pPr>
      <w:tabs>
        <w:tab w:val="center" w:pos="4680"/>
        <w:tab w:val="right" w:pos="9360"/>
      </w:tabs>
      <w:jc w:val="center"/>
      <w:rPr>
        <w:rFonts w:cs="Arial"/>
        <w:b/>
        <w:bCs/>
        <w:sz w:val="24"/>
        <w:szCs w:val="24"/>
      </w:rPr>
    </w:pPr>
    <w:r>
      <w:rPr>
        <w:rStyle w:val="NAM"/>
        <w:b/>
        <w:sz w:val="24"/>
      </w:rPr>
      <w:t>NOTICE TO PROCEED</w:t>
    </w:r>
  </w:p>
  <w:p w14:paraId="08DE21AA" w14:textId="77777777" w:rsidR="005869EF" w:rsidRDefault="009C3FAE">
    <w:pPr>
      <w:tabs>
        <w:tab w:val="center" w:pos="4680"/>
        <w:tab w:val="right" w:pos="9360"/>
      </w:tabs>
      <w:jc w:val="center"/>
      <w:rPr>
        <w:rFonts w:cs="Arial"/>
        <w:b/>
        <w:bCs/>
        <w:sz w:val="24"/>
        <w:szCs w:val="24"/>
      </w:rPr>
    </w:pPr>
    <w:r>
      <w:rPr>
        <w:rStyle w:val="NUM"/>
      </w:rPr>
      <w:t>01 13 00</w:t>
    </w:r>
    <w:r>
      <w:rPr>
        <w:rFonts w:cs="Arial"/>
        <w:b/>
        <w:bCs/>
        <w:sz w:val="24"/>
        <w:szCs w:val="24"/>
      </w:rPr>
      <w:t xml:space="preserve"> - </w:t>
    </w:r>
    <w:r w:rsidR="00457658">
      <w:rPr>
        <w:rFonts w:cs="Arial"/>
        <w:b/>
        <w:bCs/>
        <w:sz w:val="24"/>
        <w:szCs w:val="24"/>
      </w:rPr>
      <w:fldChar w:fldCharType="begin"/>
    </w:r>
    <w:r>
      <w:rPr>
        <w:rFonts w:cs="Arial"/>
        <w:b/>
        <w:bCs/>
        <w:sz w:val="24"/>
        <w:szCs w:val="24"/>
      </w:rPr>
      <w:instrText xml:space="preserve"> PAGE  \* MERGEFORMAT </w:instrText>
    </w:r>
    <w:r w:rsidR="00457658">
      <w:rPr>
        <w:rFonts w:cs="Arial"/>
        <w:b/>
        <w:bCs/>
        <w:sz w:val="24"/>
        <w:szCs w:val="24"/>
      </w:rPr>
      <w:fldChar w:fldCharType="separate"/>
    </w:r>
    <w:r w:rsidR="00A46CA8">
      <w:rPr>
        <w:rFonts w:cs="Arial"/>
        <w:b/>
        <w:bCs/>
        <w:noProof/>
        <w:sz w:val="24"/>
        <w:szCs w:val="24"/>
      </w:rPr>
      <w:t>3</w:t>
    </w:r>
    <w:r w:rsidR="00457658">
      <w:rPr>
        <w:rFonts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9FFB" w14:textId="77777777" w:rsidR="00907D7A" w:rsidRDefault="00907D7A" w:rsidP="00907D7A">
      <w:r>
        <w:separator/>
      </w:r>
    </w:p>
  </w:footnote>
  <w:footnote w:type="continuationSeparator" w:id="0">
    <w:p w14:paraId="7D303487" w14:textId="77777777" w:rsidR="00907D7A" w:rsidRDefault="00907D7A" w:rsidP="0090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CFB9" w14:textId="77777777" w:rsidR="009D6E8A" w:rsidRPr="00202F0E" w:rsidRDefault="009D6E8A" w:rsidP="009D6E8A">
    <w:pPr>
      <w:pStyle w:val="Header"/>
      <w:tabs>
        <w:tab w:val="right" w:pos="9214"/>
      </w:tabs>
      <w:rPr>
        <w:rFonts w:cs="Arial"/>
      </w:rPr>
    </w:pPr>
    <w:r>
      <w:rPr>
        <w:rFonts w:cs="Arial"/>
      </w:rPr>
      <w:t>[Project Name]</w:t>
    </w:r>
    <w:r>
      <w:rPr>
        <w:rFonts w:cs="Arial"/>
      </w:rPr>
      <w:tab/>
      <w:t>[Submittal Information]</w:t>
    </w:r>
    <w:r>
      <w:rPr>
        <w:rFonts w:cs="Arial"/>
      </w:rPr>
      <w:tab/>
      <w:t>[</w:t>
    </w:r>
    <w:r w:rsidRPr="00F87D31">
      <w:rPr>
        <w:rFonts w:cs="Arial"/>
      </w:rPr>
      <w:t>Submittal Date</w:t>
    </w:r>
    <w:r>
      <w:rPr>
        <w:rFonts w:cs="Arial"/>
      </w:rPr>
      <w:t>: MO YEAR]</w:t>
    </w:r>
  </w:p>
  <w:p w14:paraId="4773B3FD" w14:textId="77777777" w:rsidR="007B3F26" w:rsidRPr="00F87D31" w:rsidRDefault="009D6E8A" w:rsidP="009D6E8A">
    <w:pPr>
      <w:pStyle w:val="Header"/>
      <w:rPr>
        <w:rFonts w:cs="Arial"/>
      </w:rPr>
    </w:pPr>
    <w:r>
      <w:rPr>
        <w:rFonts w:cs="Arial"/>
      </w:rPr>
      <w:t>[</w:t>
    </w:r>
    <w:r w:rsidRPr="00F87D31">
      <w:rPr>
        <w:rFonts w:cs="Arial"/>
      </w:rPr>
      <w:t>Project Location</w:t>
    </w:r>
    <w:r>
      <w:rPr>
        <w:rFonts w:cs="Arial"/>
      </w:rPr>
      <w:t>]</w:t>
    </w:r>
    <w:r w:rsidR="007B3F26" w:rsidRPr="00F87D31">
      <w:rPr>
        <w:rFonts w:cs="Arial"/>
      </w:rPr>
      <w:tab/>
    </w:r>
    <w:r w:rsidR="007B3F26" w:rsidRPr="00F87D31">
      <w:rPr>
        <w:rFonts w:cs="Arial"/>
      </w:rPr>
      <w:tab/>
    </w:r>
  </w:p>
  <w:p w14:paraId="3CCCCB33" w14:textId="77777777" w:rsidR="007B3F26" w:rsidRPr="007858A5" w:rsidRDefault="007B3F26" w:rsidP="007B3F26">
    <w:pPr>
      <w:tabs>
        <w:tab w:val="center" w:pos="4680"/>
        <w:tab w:val="right" w:pos="9360"/>
      </w:tabs>
      <w:rPr>
        <w:rFonts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644B6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630745218">
    <w:abstractNumId w:val="0"/>
  </w:num>
  <w:num w:numId="2" w16cid:durableId="718015366">
    <w:abstractNumId w:val="0"/>
  </w:num>
  <w:num w:numId="3" w16cid:durableId="1034041601">
    <w:abstractNumId w:val="0"/>
  </w:num>
  <w:num w:numId="4" w16cid:durableId="1827743401">
    <w:abstractNumId w:val="0"/>
  </w:num>
  <w:num w:numId="5" w16cid:durableId="1755930014">
    <w:abstractNumId w:val="0"/>
  </w:num>
  <w:num w:numId="6" w16cid:durableId="1178739559">
    <w:abstractNumId w:val="0"/>
  </w:num>
  <w:num w:numId="7" w16cid:durableId="1485050590">
    <w:abstractNumId w:val="0"/>
  </w:num>
  <w:num w:numId="8" w16cid:durableId="303849024">
    <w:abstractNumId w:val="0"/>
  </w:num>
  <w:num w:numId="9" w16cid:durableId="74325747">
    <w:abstractNumId w:val="0"/>
  </w:num>
  <w:num w:numId="10" w16cid:durableId="518855252">
    <w:abstractNumId w:val="0"/>
  </w:num>
  <w:num w:numId="11" w16cid:durableId="1632250795">
    <w:abstractNumId w:val="0"/>
  </w:num>
  <w:num w:numId="12" w16cid:durableId="68040337">
    <w:abstractNumId w:val="0"/>
  </w:num>
  <w:num w:numId="13" w16cid:durableId="1423186058">
    <w:abstractNumId w:val="0"/>
  </w:num>
  <w:num w:numId="14" w16cid:durableId="2117554884">
    <w:abstractNumId w:val="0"/>
  </w:num>
  <w:num w:numId="15" w16cid:durableId="1377465702">
    <w:abstractNumId w:val="0"/>
  </w:num>
  <w:num w:numId="16" w16cid:durableId="1990092108">
    <w:abstractNumId w:val="0"/>
  </w:num>
  <w:num w:numId="17" w16cid:durableId="1321543658">
    <w:abstractNumId w:val="0"/>
  </w:num>
  <w:num w:numId="18" w16cid:durableId="84036777">
    <w:abstractNumId w:val="0"/>
  </w:num>
  <w:num w:numId="19" w16cid:durableId="843856829">
    <w:abstractNumId w:val="0"/>
  </w:num>
  <w:num w:numId="20" w16cid:durableId="1148323116">
    <w:abstractNumId w:val="0"/>
  </w:num>
  <w:num w:numId="21" w16cid:durableId="797264990">
    <w:abstractNumId w:val="0"/>
  </w:num>
  <w:num w:numId="22" w16cid:durableId="1562062575">
    <w:abstractNumId w:val="0"/>
  </w:num>
  <w:num w:numId="23" w16cid:durableId="752121078">
    <w:abstractNumId w:val="0"/>
  </w:num>
  <w:num w:numId="24" w16cid:durableId="2081128234">
    <w:abstractNumId w:val="0"/>
  </w:num>
  <w:num w:numId="25" w16cid:durableId="1680431156">
    <w:abstractNumId w:val="0"/>
  </w:num>
  <w:num w:numId="26" w16cid:durableId="748769453">
    <w:abstractNumId w:val="0"/>
  </w:num>
  <w:num w:numId="27" w16cid:durableId="15474246">
    <w:abstractNumId w:val="0"/>
  </w:num>
  <w:num w:numId="28" w16cid:durableId="1247038597">
    <w:abstractNumId w:val="0"/>
  </w:num>
  <w:num w:numId="29" w16cid:durableId="1673333788">
    <w:abstractNumId w:val="0"/>
  </w:num>
  <w:num w:numId="30" w16cid:durableId="1689791832">
    <w:abstractNumId w:val="0"/>
  </w:num>
  <w:num w:numId="31" w16cid:durableId="1899247125">
    <w:abstractNumId w:val="0"/>
  </w:num>
  <w:num w:numId="32" w16cid:durableId="993873678">
    <w:abstractNumId w:val="0"/>
  </w:num>
  <w:num w:numId="33" w16cid:durableId="1288241408">
    <w:abstractNumId w:val="0"/>
  </w:num>
  <w:num w:numId="34" w16cid:durableId="92202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D7A"/>
    <w:rsid w:val="000A2F63"/>
    <w:rsid w:val="000B263A"/>
    <w:rsid w:val="00263BF5"/>
    <w:rsid w:val="00320A07"/>
    <w:rsid w:val="00457658"/>
    <w:rsid w:val="00574D08"/>
    <w:rsid w:val="005B41CA"/>
    <w:rsid w:val="005F503C"/>
    <w:rsid w:val="00740456"/>
    <w:rsid w:val="007450F9"/>
    <w:rsid w:val="007858A5"/>
    <w:rsid w:val="007B3F26"/>
    <w:rsid w:val="00880639"/>
    <w:rsid w:val="00907D7A"/>
    <w:rsid w:val="009C3FAE"/>
    <w:rsid w:val="009D6E8A"/>
    <w:rsid w:val="00A46CA8"/>
    <w:rsid w:val="00AA63B9"/>
    <w:rsid w:val="00BD6A46"/>
    <w:rsid w:val="00E151A6"/>
    <w:rsid w:val="00E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A9F6"/>
  <w15:docId w15:val="{599940A3-DAAF-4B4D-B639-483385D6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D7A"/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907D7A"/>
    <w:pPr>
      <w:keepNext/>
      <w:spacing w:before="240"/>
      <w:ind w:left="720" w:hanging="7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907D7A"/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uiPriority w:val="99"/>
    <w:unhideWhenUsed/>
    <w:rsid w:val="00907D7A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sid w:val="00907D7A"/>
    <w:rPr>
      <w:rFonts w:ascii="Arial" w:eastAsia="Times New Roman" w:hAnsi="Arial"/>
    </w:rPr>
  </w:style>
  <w:style w:type="paragraph" w:styleId="Footer">
    <w:name w:val="footer"/>
    <w:basedOn w:val="Normal"/>
    <w:semiHidden/>
    <w:rsid w:val="00907D7A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907D7A"/>
    <w:rPr>
      <w:rFonts w:ascii="Arial" w:eastAsia="Times New Roman" w:hAnsi="Arial"/>
    </w:rPr>
  </w:style>
  <w:style w:type="paragraph" w:styleId="Title">
    <w:name w:val="Title"/>
    <w:basedOn w:val="Normal"/>
    <w:qFormat/>
    <w:rsid w:val="00907D7A"/>
    <w:pPr>
      <w:spacing w:before="240"/>
      <w:jc w:val="center"/>
    </w:pPr>
    <w:rPr>
      <w:b/>
      <w:sz w:val="24"/>
      <w:szCs w:val="24"/>
    </w:rPr>
  </w:style>
  <w:style w:type="character" w:customStyle="1" w:styleId="TitleChar">
    <w:name w:val="Title Char"/>
    <w:rsid w:val="00907D7A"/>
    <w:rPr>
      <w:rFonts w:ascii="Arial" w:eastAsia="Times New Roman" w:hAnsi="Arial"/>
      <w:b/>
      <w:sz w:val="24"/>
      <w:szCs w:val="24"/>
    </w:rPr>
  </w:style>
  <w:style w:type="paragraph" w:styleId="BodyTextIndent">
    <w:name w:val="Body Text Indent"/>
    <w:basedOn w:val="Normal"/>
    <w:semiHidden/>
    <w:rsid w:val="00907D7A"/>
    <w:pPr>
      <w:tabs>
        <w:tab w:val="left" w:pos="1800"/>
      </w:tabs>
      <w:spacing w:before="240"/>
      <w:ind w:left="1800" w:hanging="360"/>
    </w:pPr>
    <w:rPr>
      <w:szCs w:val="24"/>
    </w:rPr>
  </w:style>
  <w:style w:type="character" w:customStyle="1" w:styleId="BodyTextIndentChar">
    <w:name w:val="Body Text Indent Char"/>
    <w:semiHidden/>
    <w:rsid w:val="00907D7A"/>
    <w:rPr>
      <w:rFonts w:ascii="Arial" w:eastAsia="Times New Roman" w:hAnsi="Arial"/>
      <w:szCs w:val="24"/>
    </w:rPr>
  </w:style>
  <w:style w:type="paragraph" w:styleId="BodyTextIndent2">
    <w:name w:val="Body Text Indent 2"/>
    <w:basedOn w:val="Normal"/>
    <w:semiHidden/>
    <w:rsid w:val="00907D7A"/>
    <w:pPr>
      <w:spacing w:before="240"/>
      <w:ind w:left="720" w:hanging="720"/>
    </w:pPr>
    <w:rPr>
      <w:sz w:val="24"/>
      <w:szCs w:val="24"/>
    </w:rPr>
  </w:style>
  <w:style w:type="character" w:customStyle="1" w:styleId="BodyTextIndent2Char">
    <w:name w:val="Body Text Indent 2 Char"/>
    <w:semiHidden/>
    <w:rsid w:val="00907D7A"/>
    <w:rPr>
      <w:rFonts w:ascii="Arial" w:eastAsia="Times New Roman" w:hAnsi="Arial"/>
      <w:sz w:val="24"/>
      <w:szCs w:val="24"/>
    </w:rPr>
  </w:style>
  <w:style w:type="character" w:styleId="Strong">
    <w:name w:val="Strong"/>
    <w:qFormat/>
    <w:rsid w:val="00907D7A"/>
    <w:rPr>
      <w:b/>
      <w:bCs/>
    </w:rPr>
  </w:style>
  <w:style w:type="paragraph" w:styleId="DocumentMap">
    <w:name w:val="Document Map"/>
    <w:basedOn w:val="Normal"/>
    <w:semiHidden/>
    <w:rsid w:val="00907D7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907D7A"/>
    <w:rPr>
      <w:rFonts w:ascii="Tahoma" w:eastAsia="Times New Roman" w:hAnsi="Tahoma" w:cs="Tahoma"/>
      <w:shd w:val="clear" w:color="auto" w:fill="000080"/>
    </w:rPr>
  </w:style>
  <w:style w:type="paragraph" w:customStyle="1" w:styleId="HDR">
    <w:name w:val="HDR"/>
    <w:basedOn w:val="Normal"/>
    <w:rsid w:val="00907D7A"/>
    <w:pPr>
      <w:tabs>
        <w:tab w:val="center" w:pos="4608"/>
        <w:tab w:val="right" w:pos="9360"/>
      </w:tabs>
      <w:suppressAutoHyphens/>
      <w:jc w:val="center"/>
    </w:pPr>
    <w:rPr>
      <w:b/>
      <w:sz w:val="32"/>
    </w:rPr>
  </w:style>
  <w:style w:type="paragraph" w:customStyle="1" w:styleId="FTR">
    <w:name w:val="FTR"/>
    <w:basedOn w:val="Normal"/>
    <w:rsid w:val="00907D7A"/>
    <w:pPr>
      <w:tabs>
        <w:tab w:val="right" w:pos="9360"/>
      </w:tabs>
      <w:suppressAutoHyphens/>
      <w:jc w:val="center"/>
    </w:pPr>
  </w:style>
  <w:style w:type="paragraph" w:customStyle="1" w:styleId="SCT">
    <w:name w:val="SCT"/>
    <w:basedOn w:val="Normal"/>
    <w:next w:val="PRT"/>
    <w:rsid w:val="00907D7A"/>
    <w:pPr>
      <w:suppressAutoHyphens/>
      <w:spacing w:before="240"/>
      <w:jc w:val="center"/>
    </w:pPr>
    <w:rPr>
      <w:b/>
      <w:sz w:val="24"/>
    </w:rPr>
  </w:style>
  <w:style w:type="paragraph" w:customStyle="1" w:styleId="PRT">
    <w:name w:val="PRT"/>
    <w:basedOn w:val="Normal"/>
    <w:next w:val="ART"/>
    <w:rsid w:val="00907D7A"/>
    <w:pPr>
      <w:keepNext/>
      <w:numPr>
        <w:numId w:val="34"/>
      </w:numPr>
      <w:suppressAutoHyphens/>
      <w:spacing w:before="48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907D7A"/>
    <w:pPr>
      <w:keepNext/>
      <w:numPr>
        <w:ilvl w:val="3"/>
        <w:numId w:val="34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907D7A"/>
    <w:pPr>
      <w:numPr>
        <w:ilvl w:val="4"/>
        <w:numId w:val="34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rsid w:val="00907D7A"/>
    <w:pPr>
      <w:numPr>
        <w:ilvl w:val="1"/>
        <w:numId w:val="34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7D7A"/>
    <w:pPr>
      <w:numPr>
        <w:ilvl w:val="2"/>
        <w:numId w:val="34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rsid w:val="00907D7A"/>
    <w:pPr>
      <w:numPr>
        <w:ilvl w:val="5"/>
        <w:numId w:val="34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907D7A"/>
    <w:pPr>
      <w:numPr>
        <w:ilvl w:val="6"/>
        <w:numId w:val="34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907D7A"/>
    <w:pPr>
      <w:numPr>
        <w:ilvl w:val="7"/>
        <w:numId w:val="34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907D7A"/>
    <w:pPr>
      <w:numPr>
        <w:ilvl w:val="8"/>
        <w:numId w:val="34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7D7A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7D7A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7D7A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7D7A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7D7A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7D7A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7D7A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7D7A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7D7A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7D7A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7D7A"/>
    <w:pPr>
      <w:suppressAutoHyphens/>
    </w:pPr>
  </w:style>
  <w:style w:type="paragraph" w:customStyle="1" w:styleId="TCE">
    <w:name w:val="TCE"/>
    <w:basedOn w:val="Normal"/>
    <w:rsid w:val="00907D7A"/>
    <w:pPr>
      <w:suppressAutoHyphens/>
      <w:ind w:left="144" w:hanging="144"/>
    </w:pPr>
  </w:style>
  <w:style w:type="paragraph" w:customStyle="1" w:styleId="EOS">
    <w:name w:val="EOS"/>
    <w:basedOn w:val="Normal"/>
    <w:rsid w:val="00907D7A"/>
    <w:pPr>
      <w:suppressAutoHyphens/>
      <w:spacing w:before="480"/>
      <w:jc w:val="center"/>
    </w:pPr>
    <w:rPr>
      <w:b/>
    </w:rPr>
  </w:style>
  <w:style w:type="paragraph" w:customStyle="1" w:styleId="ANT">
    <w:name w:val="ANT"/>
    <w:basedOn w:val="Normal"/>
    <w:rsid w:val="00907D7A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907D7A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907D7A"/>
  </w:style>
  <w:style w:type="character" w:customStyle="1" w:styleId="SPN">
    <w:name w:val="SPN"/>
    <w:basedOn w:val="DefaultParagraphFont"/>
    <w:rsid w:val="00907D7A"/>
  </w:style>
  <w:style w:type="character" w:customStyle="1" w:styleId="SPD">
    <w:name w:val="SPD"/>
    <w:basedOn w:val="DefaultParagraphFont"/>
    <w:rsid w:val="00907D7A"/>
  </w:style>
  <w:style w:type="character" w:customStyle="1" w:styleId="NUM">
    <w:name w:val="NUM"/>
    <w:rsid w:val="00907D7A"/>
    <w:rPr>
      <w:rFonts w:ascii="Arial" w:hAnsi="Arial"/>
      <w:b/>
      <w:sz w:val="24"/>
    </w:rPr>
  </w:style>
  <w:style w:type="character" w:customStyle="1" w:styleId="NAM">
    <w:name w:val="NAM"/>
    <w:basedOn w:val="DefaultParagraphFont"/>
    <w:rsid w:val="00907D7A"/>
  </w:style>
  <w:style w:type="character" w:customStyle="1" w:styleId="SI">
    <w:name w:val="SI"/>
    <w:rsid w:val="00907D7A"/>
    <w:rPr>
      <w:color w:val="008080"/>
    </w:rPr>
  </w:style>
  <w:style w:type="character" w:customStyle="1" w:styleId="IP">
    <w:name w:val="IP"/>
    <w:rsid w:val="00907D7A"/>
    <w:rPr>
      <w:color w:val="FF0000"/>
    </w:rPr>
  </w:style>
  <w:style w:type="character" w:customStyle="1" w:styleId="HRT1">
    <w:name w:val="HRT1"/>
    <w:rsid w:val="00907D7A"/>
  </w:style>
  <w:style w:type="paragraph" w:customStyle="1" w:styleId="7Paragraph">
    <w:name w:val="7Paragraph"/>
    <w:rsid w:val="00907D7A"/>
    <w:pPr>
      <w:autoSpaceDE w:val="0"/>
      <w:autoSpaceDN w:val="0"/>
      <w:adjustRightInd w:val="0"/>
      <w:ind w:left="-1440"/>
    </w:pPr>
    <w:rPr>
      <w:rFonts w:eastAsia="Times New Roman"/>
      <w:szCs w:val="24"/>
    </w:rPr>
  </w:style>
  <w:style w:type="paragraph" w:customStyle="1" w:styleId="PRN">
    <w:name w:val="PRN"/>
    <w:basedOn w:val="Normal"/>
    <w:autoRedefine/>
    <w:rsid w:val="00907D7A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BalloonText">
    <w:name w:val="Balloon Text"/>
    <w:basedOn w:val="Normal"/>
    <w:rsid w:val="00907D7A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907D7A"/>
    <w:rPr>
      <w:rFonts w:ascii="Tahoma" w:eastAsia="Times New Roman" w:hAnsi="Tahoma" w:cs="Tahoma"/>
      <w:sz w:val="16"/>
      <w:szCs w:val="16"/>
    </w:rPr>
  </w:style>
  <w:style w:type="paragraph" w:customStyle="1" w:styleId="RJUST">
    <w:name w:val="RJUST"/>
    <w:basedOn w:val="Normal"/>
    <w:rsid w:val="00907D7A"/>
    <w:pPr>
      <w:jc w:val="right"/>
    </w:pPr>
  </w:style>
  <w:style w:type="paragraph" w:customStyle="1" w:styleId="PR3-a">
    <w:name w:val="PR3-a"/>
    <w:basedOn w:val="PR3"/>
    <w:rsid w:val="00907D7A"/>
    <w:pPr>
      <w:numPr>
        <w:ilvl w:val="0"/>
        <w:numId w:val="0"/>
      </w:numPr>
      <w:spacing w:before="240"/>
      <w:ind w:left="2016" w:hanging="576"/>
    </w:pPr>
  </w:style>
  <w:style w:type="paragraph" w:customStyle="1" w:styleId="PR2-1">
    <w:name w:val="PR2-1"/>
    <w:basedOn w:val="PR2"/>
    <w:rsid w:val="00907D7A"/>
    <w:pPr>
      <w:numPr>
        <w:ilvl w:val="0"/>
        <w:numId w:val="0"/>
      </w:numPr>
      <w:spacing w:before="240"/>
    </w:pPr>
  </w:style>
  <w:style w:type="paragraph" w:customStyle="1" w:styleId="PR4-1">
    <w:name w:val="PR4-1)"/>
    <w:basedOn w:val="PR4"/>
    <w:rsid w:val="00907D7A"/>
    <w:pPr>
      <w:numPr>
        <w:ilvl w:val="0"/>
        <w:numId w:val="0"/>
      </w:numPr>
      <w:spacing w:before="240"/>
      <w:ind w:left="2592" w:hanging="576"/>
    </w:pPr>
  </w:style>
  <w:style w:type="character" w:styleId="CommentReference">
    <w:name w:val="annotation reference"/>
    <w:semiHidden/>
    <w:rsid w:val="00907D7A"/>
    <w:rPr>
      <w:sz w:val="16"/>
      <w:szCs w:val="16"/>
    </w:rPr>
  </w:style>
  <w:style w:type="paragraph" w:styleId="CommentText">
    <w:name w:val="annotation text"/>
    <w:basedOn w:val="Normal"/>
    <w:semiHidden/>
    <w:rsid w:val="00907D7A"/>
  </w:style>
  <w:style w:type="paragraph" w:styleId="CommentSubject">
    <w:name w:val="annotation subject"/>
    <w:basedOn w:val="CommentText"/>
    <w:next w:val="CommentText"/>
    <w:semiHidden/>
    <w:rsid w:val="00907D7A"/>
    <w:rPr>
      <w:b/>
      <w:bCs/>
    </w:rPr>
  </w:style>
  <w:style w:type="paragraph" w:styleId="Revision">
    <w:name w:val="Revision"/>
    <w:hidden/>
    <w:semiHidden/>
    <w:rsid w:val="00907D7A"/>
    <w:rPr>
      <w:rFonts w:eastAsia="Times New Roman"/>
      <w:sz w:val="22"/>
    </w:rPr>
  </w:style>
  <w:style w:type="paragraph" w:customStyle="1" w:styleId="FTR2">
    <w:name w:val="FTR2"/>
    <w:basedOn w:val="FTR"/>
    <w:qFormat/>
    <w:rsid w:val="00907D7A"/>
    <w:rPr>
      <w:b/>
      <w:sz w:val="24"/>
    </w:rPr>
  </w:style>
  <w:style w:type="paragraph" w:customStyle="1" w:styleId="Title2">
    <w:name w:val="Title2"/>
    <w:basedOn w:val="Title"/>
    <w:qFormat/>
    <w:rsid w:val="00907D7A"/>
    <w:pPr>
      <w:spacing w:before="12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</dc:creator>
  <cp:keywords/>
  <cp:lastModifiedBy>Mindy Burton</cp:lastModifiedBy>
  <cp:revision>10</cp:revision>
  <dcterms:created xsi:type="dcterms:W3CDTF">2017-09-20T20:14:00Z</dcterms:created>
  <dcterms:modified xsi:type="dcterms:W3CDTF">2022-07-14T21:25:00Z</dcterms:modified>
</cp:coreProperties>
</file>